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4B56C5" w:rsidRDefault="004B56C5" w:rsidP="00A845A9">
      <w:pPr>
        <w:pStyle w:val="Heading1"/>
        <w:rPr>
          <w:color w:val="FF0000"/>
          <w:highlight w:val="yellow"/>
        </w:rPr>
      </w:pPr>
    </w:p>
    <w:p w:rsidR="004B56C5" w:rsidRDefault="004B56C5" w:rsidP="00A845A9">
      <w:pPr>
        <w:pStyle w:val="Heading1"/>
        <w:rPr>
          <w:color w:val="FF0000"/>
          <w:highlight w:val="yellow"/>
        </w:rPr>
      </w:pPr>
    </w:p>
    <w:p w:rsidR="004B56C5" w:rsidRDefault="004B56C5" w:rsidP="00A845A9">
      <w:pPr>
        <w:pStyle w:val="Heading1"/>
        <w:rPr>
          <w:color w:val="FF0000"/>
          <w:highlight w:val="yellow"/>
        </w:rPr>
      </w:pPr>
    </w:p>
    <w:p w:rsidR="00A845A9" w:rsidRPr="00870862" w:rsidRDefault="008C7C57" w:rsidP="00A845A9">
      <w:pPr>
        <w:pStyle w:val="Heading1"/>
        <w:rPr>
          <w:color w:val="FF0000"/>
          <w:highlight w:val="yellow"/>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951503" w:rsidRDefault="003B3D64" w:rsidP="00A845A9">
      <w:pPr>
        <w:pStyle w:val="Heading1"/>
        <w:jc w:val="center"/>
        <w:rPr>
          <w:rFonts w:ascii="Times New Roman" w:hAnsi="Times New Roman"/>
          <w:color w:val="FF0000"/>
          <w:sz w:val="40"/>
          <w:szCs w:val="40"/>
        </w:rPr>
      </w:pPr>
      <w:r w:rsidRPr="00951503">
        <w:rPr>
          <w:rFonts w:ascii="Times New Roman" w:hAnsi="Times New Roman"/>
          <w:color w:val="FF0000"/>
          <w:sz w:val="40"/>
          <w:szCs w:val="40"/>
        </w:rPr>
        <w:t xml:space="preserve">WRITTEN </w:t>
      </w:r>
      <w:r w:rsidR="00A845A9" w:rsidRPr="00951503">
        <w:rPr>
          <w:rFonts w:ascii="Times New Roman" w:hAnsi="Times New Roman"/>
          <w:color w:val="FF0000"/>
          <w:sz w:val="40"/>
          <w:szCs w:val="40"/>
        </w:rPr>
        <w:t xml:space="preserve">STATEMENT </w:t>
      </w:r>
    </w:p>
    <w:p w:rsidR="00A845A9" w:rsidRPr="00951503" w:rsidRDefault="00A845A9" w:rsidP="00A845A9">
      <w:pPr>
        <w:pStyle w:val="Heading1"/>
        <w:jc w:val="center"/>
        <w:rPr>
          <w:rFonts w:ascii="Times New Roman" w:hAnsi="Times New Roman"/>
          <w:color w:val="FF0000"/>
          <w:sz w:val="40"/>
          <w:szCs w:val="40"/>
        </w:rPr>
      </w:pPr>
      <w:r w:rsidRPr="00951503">
        <w:rPr>
          <w:rFonts w:ascii="Times New Roman" w:hAnsi="Times New Roman"/>
          <w:color w:val="FF0000"/>
          <w:sz w:val="40"/>
          <w:szCs w:val="40"/>
        </w:rPr>
        <w:t>BY</w:t>
      </w:r>
    </w:p>
    <w:p w:rsidR="00A845A9" w:rsidRPr="00951503" w:rsidRDefault="00A845A9" w:rsidP="00A845A9">
      <w:pPr>
        <w:pStyle w:val="Heading1"/>
        <w:jc w:val="center"/>
        <w:rPr>
          <w:rFonts w:ascii="Times New Roman" w:hAnsi="Times New Roman"/>
          <w:color w:val="FF0000"/>
          <w:sz w:val="40"/>
          <w:szCs w:val="40"/>
        </w:rPr>
      </w:pPr>
      <w:r w:rsidRPr="00951503">
        <w:rPr>
          <w:rFonts w:ascii="Times New Roman" w:hAnsi="Times New Roman"/>
          <w:color w:val="FF0000"/>
          <w:sz w:val="40"/>
          <w:szCs w:val="40"/>
        </w:rPr>
        <w:t>THE WELSH GOVERNMENT</w:t>
      </w:r>
    </w:p>
    <w:p w:rsidR="00A845A9" w:rsidRPr="00FF4B46" w:rsidRDefault="008C7C57" w:rsidP="00A845A9">
      <w:pPr>
        <w:rPr>
          <w:b/>
          <w:color w:val="FF0000"/>
          <w:highlight w:val="yellow"/>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92"/>
        <w:gridCol w:w="7991"/>
      </w:tblGrid>
      <w:tr w:rsidR="00A845A9" w:rsidRPr="00870862" w:rsidTr="00184E7B">
        <w:trPr>
          <w:trHeight w:val="502"/>
        </w:trPr>
        <w:tc>
          <w:tcPr>
            <w:tcW w:w="1392" w:type="dxa"/>
            <w:vAlign w:val="center"/>
          </w:tcPr>
          <w:p w:rsidR="008C7C57" w:rsidRDefault="008C7C57" w:rsidP="00951503">
            <w:pPr>
              <w:spacing w:before="120" w:after="120"/>
              <w:rPr>
                <w:rFonts w:ascii="Arial" w:hAnsi="Arial" w:cs="Arial"/>
                <w:b/>
                <w:bCs/>
                <w:sz w:val="24"/>
                <w:szCs w:val="24"/>
              </w:rPr>
            </w:pPr>
          </w:p>
          <w:p w:rsidR="00A845A9" w:rsidRPr="00951503" w:rsidRDefault="00951503" w:rsidP="00951503">
            <w:pPr>
              <w:spacing w:before="120" w:after="120"/>
              <w:rPr>
                <w:rFonts w:ascii="Arial" w:hAnsi="Arial" w:cs="Arial"/>
                <w:b/>
                <w:bCs/>
                <w:sz w:val="24"/>
                <w:szCs w:val="24"/>
              </w:rPr>
            </w:pPr>
            <w:r w:rsidRPr="00951503">
              <w:rPr>
                <w:rFonts w:ascii="Arial" w:hAnsi="Arial" w:cs="Arial"/>
                <w:b/>
                <w:bCs/>
                <w:sz w:val="24"/>
                <w:szCs w:val="24"/>
              </w:rPr>
              <w:t>TITLE</w:t>
            </w:r>
            <w:r w:rsidR="00A845A9" w:rsidRPr="00951503">
              <w:rPr>
                <w:rFonts w:ascii="Arial" w:hAnsi="Arial" w:cs="Arial"/>
                <w:b/>
                <w:bCs/>
                <w:sz w:val="24"/>
                <w:szCs w:val="24"/>
              </w:rPr>
              <w:t xml:space="preserve"> </w:t>
            </w:r>
          </w:p>
        </w:tc>
        <w:tc>
          <w:tcPr>
            <w:tcW w:w="7991" w:type="dxa"/>
            <w:vAlign w:val="center"/>
          </w:tcPr>
          <w:p w:rsidR="008C7C57" w:rsidRDefault="008C7C57" w:rsidP="00951503">
            <w:pPr>
              <w:spacing w:before="120" w:after="120"/>
              <w:rPr>
                <w:rFonts w:ascii="Arial" w:hAnsi="Arial" w:cs="Arial"/>
                <w:b/>
                <w:bCs/>
                <w:sz w:val="24"/>
                <w:szCs w:val="24"/>
              </w:rPr>
            </w:pPr>
          </w:p>
          <w:p w:rsidR="00A845A9" w:rsidRPr="00951503" w:rsidRDefault="00951503" w:rsidP="00951503">
            <w:pPr>
              <w:spacing w:before="120" w:after="120"/>
              <w:rPr>
                <w:rFonts w:ascii="Arial" w:hAnsi="Arial" w:cs="Arial"/>
                <w:b/>
                <w:bCs/>
                <w:sz w:val="24"/>
                <w:szCs w:val="24"/>
              </w:rPr>
            </w:pPr>
            <w:bookmarkStart w:id="0" w:name="_GoBack"/>
            <w:r w:rsidRPr="00951503">
              <w:rPr>
                <w:rFonts w:ascii="Arial" w:hAnsi="Arial" w:cs="Arial"/>
                <w:b/>
                <w:bCs/>
                <w:sz w:val="24"/>
                <w:szCs w:val="24"/>
              </w:rPr>
              <w:t>Update on extension of the Nurse Staffing Levels (Wales) Act 2016</w:t>
            </w:r>
            <w:bookmarkEnd w:id="0"/>
            <w:r w:rsidRPr="00951503">
              <w:rPr>
                <w:rFonts w:ascii="Arial" w:hAnsi="Arial" w:cs="Arial"/>
                <w:b/>
                <w:bCs/>
                <w:sz w:val="24"/>
                <w:szCs w:val="24"/>
              </w:rPr>
              <w:t>.</w:t>
            </w:r>
          </w:p>
        </w:tc>
      </w:tr>
      <w:tr w:rsidR="00A845A9" w:rsidRPr="00870862" w:rsidTr="00184E7B">
        <w:trPr>
          <w:trHeight w:val="516"/>
        </w:trPr>
        <w:tc>
          <w:tcPr>
            <w:tcW w:w="1392" w:type="dxa"/>
            <w:vAlign w:val="center"/>
          </w:tcPr>
          <w:p w:rsidR="00A845A9" w:rsidRPr="00951503" w:rsidRDefault="00951503" w:rsidP="00951503">
            <w:pPr>
              <w:spacing w:before="120" w:after="120"/>
              <w:rPr>
                <w:rFonts w:ascii="Arial" w:hAnsi="Arial" w:cs="Arial"/>
                <w:b/>
                <w:bCs/>
                <w:sz w:val="24"/>
                <w:szCs w:val="24"/>
              </w:rPr>
            </w:pPr>
            <w:r w:rsidRPr="00951503">
              <w:rPr>
                <w:rFonts w:ascii="Arial" w:hAnsi="Arial" w:cs="Arial"/>
                <w:b/>
                <w:bCs/>
                <w:sz w:val="24"/>
                <w:szCs w:val="24"/>
              </w:rPr>
              <w:t>DATE</w:t>
            </w:r>
            <w:r w:rsidR="00A845A9" w:rsidRPr="00951503">
              <w:rPr>
                <w:rFonts w:ascii="Arial" w:hAnsi="Arial" w:cs="Arial"/>
                <w:b/>
                <w:bCs/>
                <w:sz w:val="24"/>
                <w:szCs w:val="24"/>
              </w:rPr>
              <w:t xml:space="preserve"> </w:t>
            </w:r>
          </w:p>
        </w:tc>
        <w:tc>
          <w:tcPr>
            <w:tcW w:w="7991" w:type="dxa"/>
            <w:vAlign w:val="center"/>
          </w:tcPr>
          <w:p w:rsidR="00A845A9" w:rsidRPr="00951503" w:rsidRDefault="008C7C57" w:rsidP="00951503">
            <w:pPr>
              <w:spacing w:before="120" w:after="120"/>
              <w:rPr>
                <w:rFonts w:ascii="Arial" w:hAnsi="Arial" w:cs="Arial"/>
                <w:b/>
                <w:bCs/>
                <w:sz w:val="24"/>
                <w:szCs w:val="24"/>
              </w:rPr>
            </w:pPr>
            <w:r>
              <w:rPr>
                <w:rFonts w:ascii="Arial" w:hAnsi="Arial" w:cs="Arial"/>
                <w:b/>
                <w:bCs/>
                <w:sz w:val="24"/>
                <w:szCs w:val="24"/>
              </w:rPr>
              <w:t>0</w:t>
            </w:r>
            <w:r w:rsidR="000E295E">
              <w:rPr>
                <w:rFonts w:ascii="Arial" w:hAnsi="Arial" w:cs="Arial"/>
                <w:b/>
                <w:bCs/>
                <w:sz w:val="24"/>
                <w:szCs w:val="24"/>
              </w:rPr>
              <w:t>7 June</w:t>
            </w:r>
            <w:r w:rsidR="00DC1408" w:rsidRPr="00951503">
              <w:rPr>
                <w:rFonts w:ascii="Arial" w:hAnsi="Arial" w:cs="Arial"/>
                <w:b/>
                <w:bCs/>
                <w:sz w:val="24"/>
                <w:szCs w:val="24"/>
              </w:rPr>
              <w:t xml:space="preserve"> 201</w:t>
            </w:r>
            <w:r w:rsidR="00951503" w:rsidRPr="00951503">
              <w:rPr>
                <w:rFonts w:ascii="Arial" w:hAnsi="Arial" w:cs="Arial"/>
                <w:b/>
                <w:bCs/>
                <w:sz w:val="24"/>
                <w:szCs w:val="24"/>
              </w:rPr>
              <w:t>8</w:t>
            </w:r>
          </w:p>
        </w:tc>
      </w:tr>
      <w:tr w:rsidR="00A845A9" w:rsidRPr="00870862" w:rsidTr="00184E7B">
        <w:trPr>
          <w:trHeight w:val="790"/>
        </w:trPr>
        <w:tc>
          <w:tcPr>
            <w:tcW w:w="1392" w:type="dxa"/>
            <w:vAlign w:val="center"/>
          </w:tcPr>
          <w:p w:rsidR="00A845A9" w:rsidRPr="00951503" w:rsidRDefault="00951503" w:rsidP="00951503">
            <w:pPr>
              <w:spacing w:before="120" w:after="120"/>
              <w:rPr>
                <w:rFonts w:ascii="Arial" w:hAnsi="Arial" w:cs="Arial"/>
                <w:b/>
                <w:bCs/>
                <w:sz w:val="24"/>
                <w:szCs w:val="24"/>
              </w:rPr>
            </w:pPr>
            <w:r w:rsidRPr="00951503">
              <w:rPr>
                <w:rFonts w:ascii="Arial" w:hAnsi="Arial" w:cs="Arial"/>
                <w:b/>
                <w:bCs/>
                <w:sz w:val="24"/>
                <w:szCs w:val="24"/>
              </w:rPr>
              <w:t>BY</w:t>
            </w:r>
            <w:r w:rsidR="00A845A9" w:rsidRPr="00951503">
              <w:rPr>
                <w:rFonts w:ascii="Arial" w:hAnsi="Arial" w:cs="Arial"/>
                <w:b/>
                <w:bCs/>
                <w:sz w:val="24"/>
                <w:szCs w:val="24"/>
              </w:rPr>
              <w:t xml:space="preserve"> </w:t>
            </w:r>
          </w:p>
        </w:tc>
        <w:tc>
          <w:tcPr>
            <w:tcW w:w="7991" w:type="dxa"/>
            <w:vAlign w:val="center"/>
          </w:tcPr>
          <w:p w:rsidR="00A845A9" w:rsidRPr="00951503" w:rsidRDefault="008C7C57" w:rsidP="008C7C57">
            <w:pPr>
              <w:spacing w:before="120" w:after="120"/>
              <w:rPr>
                <w:rFonts w:ascii="Arial" w:hAnsi="Arial" w:cs="Arial"/>
                <w:b/>
                <w:bCs/>
                <w:sz w:val="24"/>
                <w:szCs w:val="24"/>
              </w:rPr>
            </w:pPr>
            <w:r w:rsidRPr="00951503">
              <w:rPr>
                <w:rFonts w:ascii="Arial" w:hAnsi="Arial" w:cs="Arial"/>
                <w:b/>
                <w:bCs/>
                <w:sz w:val="24"/>
                <w:szCs w:val="24"/>
              </w:rPr>
              <w:t>Vaughan Gething</w:t>
            </w:r>
            <w:r>
              <w:rPr>
                <w:rFonts w:ascii="Arial" w:hAnsi="Arial" w:cs="Arial"/>
                <w:b/>
                <w:bCs/>
                <w:sz w:val="24"/>
                <w:szCs w:val="24"/>
              </w:rPr>
              <w:t xml:space="preserve">, </w:t>
            </w:r>
            <w:r w:rsidR="00E26C5F">
              <w:rPr>
                <w:rFonts w:ascii="Arial" w:hAnsi="Arial" w:cs="Arial"/>
                <w:b/>
                <w:bCs/>
                <w:sz w:val="24"/>
                <w:szCs w:val="24"/>
              </w:rPr>
              <w:t>Cabinet Secretary for Health and Social Services,</w:t>
            </w:r>
            <w:r w:rsidR="00E26C5F" w:rsidRPr="00951503">
              <w:rPr>
                <w:rFonts w:ascii="Arial" w:hAnsi="Arial" w:cs="Arial"/>
                <w:b/>
                <w:bCs/>
                <w:sz w:val="24"/>
                <w:szCs w:val="24"/>
              </w:rPr>
              <w:t xml:space="preserve"> </w:t>
            </w:r>
          </w:p>
        </w:tc>
      </w:tr>
    </w:tbl>
    <w:p w:rsidR="00FF4B46" w:rsidRDefault="00FF4B46" w:rsidP="00951503">
      <w:pPr>
        <w:rPr>
          <w:rFonts w:ascii="Arial" w:hAnsi="Arial"/>
          <w:sz w:val="24"/>
        </w:rPr>
      </w:pPr>
    </w:p>
    <w:p w:rsidR="00FD45E9" w:rsidRPr="00FD45E9" w:rsidRDefault="00FD45E9" w:rsidP="00951503">
      <w:pPr>
        <w:rPr>
          <w:rFonts w:ascii="Arial" w:hAnsi="Arial"/>
          <w:sz w:val="24"/>
        </w:rPr>
      </w:pPr>
      <w:r w:rsidRPr="00FD45E9">
        <w:rPr>
          <w:rFonts w:ascii="Arial" w:hAnsi="Arial"/>
          <w:sz w:val="24"/>
        </w:rPr>
        <w:t xml:space="preserve">In </w:t>
      </w:r>
      <w:r>
        <w:rPr>
          <w:rFonts w:ascii="Arial" w:hAnsi="Arial"/>
          <w:sz w:val="24"/>
        </w:rPr>
        <w:t>February</w:t>
      </w:r>
      <w:r w:rsidRPr="00FD45E9">
        <w:rPr>
          <w:rFonts w:ascii="Arial" w:hAnsi="Arial"/>
          <w:sz w:val="24"/>
        </w:rPr>
        <w:t xml:space="preserve"> 2016</w:t>
      </w:r>
      <w:r>
        <w:rPr>
          <w:rFonts w:ascii="Arial" w:hAnsi="Arial"/>
          <w:sz w:val="24"/>
        </w:rPr>
        <w:t>, the National Assem</w:t>
      </w:r>
      <w:r w:rsidR="00FF4B46">
        <w:rPr>
          <w:rFonts w:ascii="Arial" w:hAnsi="Arial"/>
          <w:sz w:val="24"/>
        </w:rPr>
        <w:t>bly</w:t>
      </w:r>
      <w:r>
        <w:rPr>
          <w:rFonts w:ascii="Arial" w:hAnsi="Arial"/>
          <w:sz w:val="24"/>
        </w:rPr>
        <w:t xml:space="preserve"> passed the Nurse Staffing Levels (Wales) Bill into law, making </w:t>
      </w:r>
      <w:r w:rsidR="00B63B7A">
        <w:rPr>
          <w:rFonts w:ascii="Arial" w:hAnsi="Arial"/>
          <w:sz w:val="24"/>
        </w:rPr>
        <w:t>Wales</w:t>
      </w:r>
      <w:r>
        <w:rPr>
          <w:rFonts w:ascii="Arial" w:hAnsi="Arial"/>
          <w:sz w:val="24"/>
        </w:rPr>
        <w:t xml:space="preserve"> </w:t>
      </w:r>
      <w:r w:rsidRPr="00FD45E9">
        <w:rPr>
          <w:rFonts w:ascii="Arial" w:hAnsi="Arial"/>
          <w:sz w:val="24"/>
        </w:rPr>
        <w:t>the first country in Europe to legislate on nurse staffing levels.</w:t>
      </w:r>
      <w:r>
        <w:rPr>
          <w:rFonts w:ascii="Arial" w:hAnsi="Arial"/>
          <w:sz w:val="24"/>
        </w:rPr>
        <w:t xml:space="preserve"> The Act came fully into force </w:t>
      </w:r>
      <w:r w:rsidR="003C2E86">
        <w:rPr>
          <w:rFonts w:ascii="Arial" w:hAnsi="Arial"/>
          <w:sz w:val="24"/>
        </w:rPr>
        <w:t>within adult acute medical and surgical wards</w:t>
      </w:r>
      <w:r w:rsidR="007A7F30" w:rsidRPr="007A7F30">
        <w:rPr>
          <w:rFonts w:ascii="Arial" w:hAnsi="Arial"/>
          <w:sz w:val="24"/>
        </w:rPr>
        <w:t xml:space="preserve"> </w:t>
      </w:r>
      <w:r w:rsidR="007A7F30">
        <w:rPr>
          <w:rFonts w:ascii="Arial" w:hAnsi="Arial"/>
          <w:sz w:val="24"/>
        </w:rPr>
        <w:t>in April of this year</w:t>
      </w:r>
      <w:r w:rsidR="003C2E86">
        <w:rPr>
          <w:rFonts w:ascii="Arial" w:hAnsi="Arial"/>
          <w:sz w:val="24"/>
        </w:rPr>
        <w:t xml:space="preserve">. </w:t>
      </w:r>
    </w:p>
    <w:p w:rsidR="00FD45E9" w:rsidRPr="00951503" w:rsidRDefault="00FD45E9" w:rsidP="00951503">
      <w:pPr>
        <w:rPr>
          <w:highlight w:val="yellow"/>
          <w:lang w:val="en-US"/>
        </w:rPr>
      </w:pPr>
    </w:p>
    <w:p w:rsidR="00817745" w:rsidRPr="0019124E" w:rsidRDefault="008C7C57" w:rsidP="0019124E">
      <w:pPr>
        <w:autoSpaceDE w:val="0"/>
        <w:autoSpaceDN w:val="0"/>
        <w:adjustRightInd w:val="0"/>
        <w:rPr>
          <w:rFonts w:ascii="Arial" w:hAnsi="Arial"/>
          <w:sz w:val="24"/>
        </w:rPr>
      </w:pPr>
      <w:r>
        <w:rPr>
          <w:rFonts w:ascii="Arial" w:hAnsi="Arial"/>
          <w:sz w:val="24"/>
        </w:rPr>
        <w:t>The Government</w:t>
      </w:r>
      <w:r w:rsidR="00951503">
        <w:rPr>
          <w:rFonts w:ascii="Arial" w:hAnsi="Arial"/>
          <w:sz w:val="24"/>
        </w:rPr>
        <w:t xml:space="preserve"> </w:t>
      </w:r>
      <w:r w:rsidR="00F6445B">
        <w:rPr>
          <w:rFonts w:ascii="Arial" w:hAnsi="Arial"/>
          <w:sz w:val="24"/>
        </w:rPr>
        <w:t>remains commit</w:t>
      </w:r>
      <w:r w:rsidR="000E295E">
        <w:rPr>
          <w:rFonts w:ascii="Arial" w:hAnsi="Arial"/>
          <w:sz w:val="24"/>
        </w:rPr>
        <w:t>t</w:t>
      </w:r>
      <w:r w:rsidR="00F6445B">
        <w:rPr>
          <w:rFonts w:ascii="Arial" w:hAnsi="Arial"/>
          <w:sz w:val="24"/>
        </w:rPr>
        <w:t xml:space="preserve">ed </w:t>
      </w:r>
      <w:r w:rsidR="00951503">
        <w:rPr>
          <w:rFonts w:ascii="Arial" w:hAnsi="Arial"/>
          <w:sz w:val="24"/>
        </w:rPr>
        <w:t>to extend</w:t>
      </w:r>
      <w:r w:rsidR="000E295E">
        <w:rPr>
          <w:rFonts w:ascii="Arial" w:hAnsi="Arial"/>
          <w:sz w:val="24"/>
        </w:rPr>
        <w:t>ing</w:t>
      </w:r>
      <w:r w:rsidR="00951503">
        <w:rPr>
          <w:rFonts w:ascii="Arial" w:hAnsi="Arial"/>
          <w:sz w:val="24"/>
        </w:rPr>
        <w:t xml:space="preserve"> the Act into </w:t>
      </w:r>
      <w:r w:rsidR="000744CB">
        <w:rPr>
          <w:rFonts w:ascii="Arial" w:hAnsi="Arial"/>
          <w:sz w:val="24"/>
        </w:rPr>
        <w:t xml:space="preserve">additional </w:t>
      </w:r>
      <w:r w:rsidR="00951503">
        <w:rPr>
          <w:rFonts w:ascii="Arial" w:hAnsi="Arial"/>
          <w:sz w:val="24"/>
        </w:rPr>
        <w:t>settings b</w:t>
      </w:r>
      <w:r w:rsidR="000E295E">
        <w:rPr>
          <w:rFonts w:ascii="Arial" w:hAnsi="Arial"/>
          <w:sz w:val="24"/>
        </w:rPr>
        <w:t>y the end of this Assembly term</w:t>
      </w:r>
      <w:r w:rsidR="00951503">
        <w:rPr>
          <w:rFonts w:ascii="Arial" w:hAnsi="Arial"/>
          <w:sz w:val="24"/>
        </w:rPr>
        <w:t xml:space="preserve">. </w:t>
      </w:r>
      <w:r w:rsidR="000F5D99" w:rsidRPr="0019124E">
        <w:rPr>
          <w:rFonts w:ascii="Arial" w:hAnsi="Arial"/>
          <w:sz w:val="24"/>
        </w:rPr>
        <w:t xml:space="preserve">The </w:t>
      </w:r>
      <w:r w:rsidR="00F47F3A" w:rsidRPr="0019124E">
        <w:rPr>
          <w:rFonts w:ascii="Arial" w:hAnsi="Arial"/>
          <w:sz w:val="24"/>
        </w:rPr>
        <w:t xml:space="preserve">wording of the </w:t>
      </w:r>
      <w:r w:rsidR="0019124E" w:rsidRPr="0019124E">
        <w:rPr>
          <w:rFonts w:ascii="Arial" w:hAnsi="Arial"/>
          <w:sz w:val="24"/>
        </w:rPr>
        <w:t>Act is quite clear about what is required</w:t>
      </w:r>
      <w:r w:rsidR="000F5D99" w:rsidRPr="0019124E">
        <w:rPr>
          <w:rFonts w:ascii="Arial" w:hAnsi="Arial"/>
          <w:sz w:val="24"/>
        </w:rPr>
        <w:t xml:space="preserve"> to enable the </w:t>
      </w:r>
      <w:r w:rsidR="000744CB" w:rsidRPr="0019124E">
        <w:rPr>
          <w:rFonts w:ascii="Arial" w:hAnsi="Arial"/>
          <w:sz w:val="24"/>
        </w:rPr>
        <w:t>extension of</w:t>
      </w:r>
      <w:r w:rsidR="007A7F30" w:rsidRPr="0019124E">
        <w:rPr>
          <w:rFonts w:ascii="Arial" w:hAnsi="Arial"/>
          <w:sz w:val="24"/>
        </w:rPr>
        <w:t xml:space="preserve"> section 25B</w:t>
      </w:r>
      <w:r w:rsidR="000744CB" w:rsidRPr="0019124E">
        <w:rPr>
          <w:rFonts w:ascii="Arial" w:hAnsi="Arial"/>
          <w:sz w:val="24"/>
        </w:rPr>
        <w:t xml:space="preserve"> into other healthcare settings. </w:t>
      </w:r>
      <w:r w:rsidR="0019124E" w:rsidRPr="0019124E">
        <w:rPr>
          <w:rFonts w:ascii="Arial" w:hAnsi="Arial"/>
          <w:sz w:val="24"/>
        </w:rPr>
        <w:t>As set out in the Act, an evidence-based workforce</w:t>
      </w:r>
      <w:r w:rsidR="003B0C36">
        <w:rPr>
          <w:rFonts w:ascii="Arial" w:hAnsi="Arial"/>
          <w:sz w:val="24"/>
        </w:rPr>
        <w:t xml:space="preserve"> planning</w:t>
      </w:r>
      <w:r w:rsidR="0019124E" w:rsidRPr="0019124E">
        <w:rPr>
          <w:rFonts w:ascii="Arial" w:hAnsi="Arial"/>
          <w:sz w:val="24"/>
        </w:rPr>
        <w:t xml:space="preserve"> tool must be used as part of a triangulated method of calculating nurse staffing levels. Paragraph 41 of the statutory guidance states that the Chief Nursing Officer would determine which tool is to be used in Wales based on its fulfilment of the following definition: </w:t>
      </w:r>
      <w:r w:rsidR="0019124E" w:rsidRPr="0019124E">
        <w:rPr>
          <w:rFonts w:ascii="Arial" w:hAnsi="Arial"/>
          <w:i/>
          <w:sz w:val="24"/>
        </w:rPr>
        <w:t>“a</w:t>
      </w:r>
      <w:r w:rsidR="00C75152">
        <w:rPr>
          <w:rFonts w:ascii="Arial" w:hAnsi="Arial"/>
          <w:i/>
          <w:sz w:val="24"/>
        </w:rPr>
        <w:t>n established theoretical tool or a tool</w:t>
      </w:r>
      <w:r w:rsidR="0019124E" w:rsidRPr="0019124E">
        <w:rPr>
          <w:rFonts w:ascii="Arial" w:hAnsi="Arial"/>
          <w:i/>
          <w:sz w:val="24"/>
        </w:rPr>
        <w:t xml:space="preserve"> developed for use in NHS Wales that has been validated for use by establishing an evidence base of its applicability in Welsh clinical settings.”</w:t>
      </w:r>
      <w:r w:rsidR="0019124E" w:rsidRPr="0019124E">
        <w:rPr>
          <w:rFonts w:ascii="Arial" w:hAnsi="Arial"/>
          <w:sz w:val="24"/>
        </w:rPr>
        <w:t xml:space="preserve"> </w:t>
      </w:r>
    </w:p>
    <w:p w:rsidR="00817745" w:rsidRPr="0019124E" w:rsidRDefault="00817745" w:rsidP="0019124E">
      <w:pPr>
        <w:autoSpaceDE w:val="0"/>
        <w:autoSpaceDN w:val="0"/>
        <w:adjustRightInd w:val="0"/>
        <w:rPr>
          <w:rFonts w:ascii="Arial" w:hAnsi="Arial"/>
          <w:sz w:val="24"/>
          <w:highlight w:val="yellow"/>
        </w:rPr>
      </w:pPr>
    </w:p>
    <w:p w:rsidR="00817745" w:rsidRDefault="0019124E" w:rsidP="00817745">
      <w:pPr>
        <w:autoSpaceDE w:val="0"/>
        <w:autoSpaceDN w:val="0"/>
        <w:adjustRightInd w:val="0"/>
        <w:rPr>
          <w:rFonts w:ascii="Arial" w:hAnsi="Arial" w:cs="Arial"/>
          <w:color w:val="1F497D"/>
          <w:sz w:val="24"/>
          <w:szCs w:val="24"/>
        </w:rPr>
      </w:pPr>
      <w:r w:rsidRPr="00E405EA">
        <w:rPr>
          <w:rFonts w:ascii="Arial" w:hAnsi="Arial"/>
          <w:sz w:val="24"/>
        </w:rPr>
        <w:t xml:space="preserve">For adult acute medical and surgical wards, the </w:t>
      </w:r>
      <w:r w:rsidRPr="00E405EA">
        <w:rPr>
          <w:rFonts w:ascii="Arial" w:hAnsi="Arial"/>
          <w:i/>
          <w:sz w:val="24"/>
        </w:rPr>
        <w:t>Welsh Levels of Care</w:t>
      </w:r>
      <w:r w:rsidRPr="00E405EA">
        <w:rPr>
          <w:rFonts w:ascii="Arial" w:hAnsi="Arial"/>
          <w:sz w:val="24"/>
        </w:rPr>
        <w:t xml:space="preserve"> </w:t>
      </w:r>
      <w:r w:rsidR="00E405EA">
        <w:rPr>
          <w:rFonts w:ascii="Arial" w:hAnsi="Arial"/>
          <w:sz w:val="24"/>
        </w:rPr>
        <w:t xml:space="preserve">(WLOC) </w:t>
      </w:r>
      <w:r w:rsidRPr="00E405EA">
        <w:rPr>
          <w:rFonts w:ascii="Arial" w:hAnsi="Arial"/>
          <w:sz w:val="24"/>
        </w:rPr>
        <w:t xml:space="preserve">is </w:t>
      </w:r>
      <w:r w:rsidR="0069479B">
        <w:rPr>
          <w:rFonts w:ascii="Arial" w:hAnsi="Arial"/>
          <w:sz w:val="24"/>
        </w:rPr>
        <w:t>deemed to be the sole</w:t>
      </w:r>
      <w:r w:rsidRPr="00E405EA">
        <w:rPr>
          <w:rFonts w:ascii="Arial" w:hAnsi="Arial"/>
          <w:sz w:val="24"/>
        </w:rPr>
        <w:t xml:space="preserve"> tool that meets </w:t>
      </w:r>
      <w:r w:rsidR="00F27EE1" w:rsidRPr="00E405EA">
        <w:rPr>
          <w:rFonts w:ascii="Arial" w:hAnsi="Arial"/>
          <w:sz w:val="24"/>
        </w:rPr>
        <w:t>th</w:t>
      </w:r>
      <w:r w:rsidR="000F6C05">
        <w:rPr>
          <w:rFonts w:ascii="Arial" w:hAnsi="Arial"/>
          <w:sz w:val="24"/>
        </w:rPr>
        <w:t>e</w:t>
      </w:r>
      <w:r w:rsidR="00F27EE1" w:rsidRPr="00E405EA">
        <w:rPr>
          <w:rFonts w:ascii="Arial" w:hAnsi="Arial"/>
          <w:sz w:val="24"/>
        </w:rPr>
        <w:t xml:space="preserve"> </w:t>
      </w:r>
      <w:r w:rsidRPr="00E405EA">
        <w:rPr>
          <w:rFonts w:ascii="Arial" w:hAnsi="Arial"/>
          <w:sz w:val="24"/>
        </w:rPr>
        <w:t>definition in Wales at this time and w</w:t>
      </w:r>
      <w:r w:rsidR="00E405EA" w:rsidRPr="00E405EA">
        <w:rPr>
          <w:rFonts w:ascii="Arial" w:hAnsi="Arial"/>
          <w:sz w:val="24"/>
        </w:rPr>
        <w:t>as</w:t>
      </w:r>
      <w:r w:rsidRPr="00E405EA">
        <w:rPr>
          <w:rFonts w:ascii="Arial" w:hAnsi="Arial"/>
          <w:sz w:val="24"/>
        </w:rPr>
        <w:t xml:space="preserve"> therefore </w:t>
      </w:r>
      <w:r w:rsidR="00E405EA" w:rsidRPr="00E405EA">
        <w:rPr>
          <w:rFonts w:ascii="Arial" w:hAnsi="Arial"/>
          <w:sz w:val="24"/>
        </w:rPr>
        <w:t xml:space="preserve">prescribed </w:t>
      </w:r>
      <w:r w:rsidR="000F6C05">
        <w:rPr>
          <w:rFonts w:ascii="Arial" w:hAnsi="Arial"/>
          <w:sz w:val="24"/>
        </w:rPr>
        <w:t xml:space="preserve">to </w:t>
      </w:r>
      <w:r w:rsidRPr="00E405EA">
        <w:rPr>
          <w:rFonts w:ascii="Arial" w:hAnsi="Arial"/>
          <w:sz w:val="24"/>
        </w:rPr>
        <w:t xml:space="preserve">all health boards </w:t>
      </w:r>
      <w:r w:rsidR="000F6C05" w:rsidRPr="00E405EA">
        <w:rPr>
          <w:rFonts w:ascii="Arial" w:hAnsi="Arial"/>
          <w:sz w:val="24"/>
        </w:rPr>
        <w:t xml:space="preserve">for use </w:t>
      </w:r>
      <w:r w:rsidRPr="00E405EA">
        <w:rPr>
          <w:rFonts w:ascii="Arial" w:hAnsi="Arial"/>
          <w:sz w:val="24"/>
        </w:rPr>
        <w:t xml:space="preserve">as part of the </w:t>
      </w:r>
      <w:r w:rsidR="006E565F">
        <w:rPr>
          <w:rFonts w:ascii="Arial" w:hAnsi="Arial"/>
          <w:sz w:val="24"/>
        </w:rPr>
        <w:t xml:space="preserve">staffing </w:t>
      </w:r>
      <w:r w:rsidRPr="00E405EA">
        <w:rPr>
          <w:rFonts w:ascii="Arial" w:hAnsi="Arial"/>
          <w:sz w:val="24"/>
        </w:rPr>
        <w:t xml:space="preserve">calculation process from 6 April </w:t>
      </w:r>
      <w:r w:rsidR="00E405EA" w:rsidRPr="00E405EA">
        <w:rPr>
          <w:rFonts w:ascii="Arial" w:hAnsi="Arial"/>
          <w:sz w:val="24"/>
        </w:rPr>
        <w:t xml:space="preserve">2018 </w:t>
      </w:r>
      <w:r w:rsidRPr="00E405EA">
        <w:rPr>
          <w:rFonts w:ascii="Arial" w:hAnsi="Arial"/>
          <w:sz w:val="24"/>
        </w:rPr>
        <w:t xml:space="preserve">onwards. </w:t>
      </w:r>
      <w:r w:rsidR="00E405EA">
        <w:rPr>
          <w:rFonts w:ascii="Arial" w:hAnsi="Arial"/>
          <w:sz w:val="24"/>
        </w:rPr>
        <w:t xml:space="preserve">The WLOC tool was developed over a two year iterative process with </w:t>
      </w:r>
      <w:r w:rsidR="003B0C36">
        <w:rPr>
          <w:rFonts w:ascii="Arial" w:hAnsi="Arial"/>
          <w:sz w:val="24"/>
        </w:rPr>
        <w:t>thousan</w:t>
      </w:r>
      <w:r w:rsidR="00E405EA">
        <w:rPr>
          <w:rFonts w:ascii="Arial" w:hAnsi="Arial"/>
          <w:sz w:val="24"/>
        </w:rPr>
        <w:t xml:space="preserve">ds of Welsh nurses collecting data across the entire country to create the necessary evidence base </w:t>
      </w:r>
      <w:r w:rsidR="00833E4E">
        <w:rPr>
          <w:rFonts w:ascii="Arial" w:hAnsi="Arial"/>
          <w:sz w:val="24"/>
        </w:rPr>
        <w:t>in a</w:t>
      </w:r>
      <w:r w:rsidR="00E405EA">
        <w:rPr>
          <w:rFonts w:ascii="Arial" w:hAnsi="Arial"/>
          <w:sz w:val="24"/>
        </w:rPr>
        <w:t xml:space="preserve"> Welsh</w:t>
      </w:r>
      <w:r w:rsidR="00833E4E">
        <w:rPr>
          <w:rFonts w:ascii="Arial" w:hAnsi="Arial"/>
          <w:sz w:val="24"/>
        </w:rPr>
        <w:t xml:space="preserve"> clinical</w:t>
      </w:r>
      <w:r w:rsidR="00E405EA">
        <w:rPr>
          <w:rFonts w:ascii="Arial" w:hAnsi="Arial"/>
          <w:sz w:val="24"/>
        </w:rPr>
        <w:t xml:space="preserve"> setting.</w:t>
      </w:r>
      <w:r w:rsidR="00E405EA" w:rsidRPr="003B47CF">
        <w:rPr>
          <w:rFonts w:ascii="Arial" w:hAnsi="Arial"/>
          <w:color w:val="000000"/>
          <w:sz w:val="24"/>
        </w:rPr>
        <w:t xml:space="preserve"> </w:t>
      </w:r>
      <w:r w:rsidR="00817745" w:rsidRPr="003B47CF">
        <w:rPr>
          <w:rFonts w:ascii="Arial" w:hAnsi="Arial" w:cs="Arial"/>
          <w:color w:val="000000"/>
          <w:sz w:val="24"/>
          <w:szCs w:val="24"/>
        </w:rPr>
        <w:t>The testing and development the WLOC tool in Wales was possible within a relatively short time period because</w:t>
      </w:r>
      <w:r w:rsidR="00817745" w:rsidRPr="003B47CF">
        <w:rPr>
          <w:rFonts w:cs="Arial"/>
          <w:color w:val="000000"/>
          <w:szCs w:val="24"/>
        </w:rPr>
        <w:t xml:space="preserve"> </w:t>
      </w:r>
      <w:r w:rsidR="00817745" w:rsidRPr="003B47CF">
        <w:rPr>
          <w:rFonts w:ascii="Arial" w:hAnsi="Arial" w:cs="Arial"/>
          <w:color w:val="000000"/>
          <w:sz w:val="24"/>
          <w:szCs w:val="24"/>
        </w:rPr>
        <w:t xml:space="preserve">there was a tool with a well-tested algorithm already in place in many parts of the UK that we were able to use as a foundation to build on – </w:t>
      </w:r>
      <w:r w:rsidR="00817745" w:rsidRPr="007652D0">
        <w:rPr>
          <w:rFonts w:ascii="Arial" w:hAnsi="Arial" w:cs="Arial"/>
          <w:i/>
          <w:color w:val="000000"/>
          <w:sz w:val="24"/>
          <w:szCs w:val="24"/>
        </w:rPr>
        <w:t>The</w:t>
      </w:r>
      <w:r w:rsidR="00817745" w:rsidRPr="007652D0">
        <w:rPr>
          <w:rFonts w:cs="Arial"/>
          <w:i/>
          <w:color w:val="000000"/>
          <w:szCs w:val="24"/>
        </w:rPr>
        <w:t xml:space="preserve"> </w:t>
      </w:r>
      <w:r w:rsidR="00817745" w:rsidRPr="007652D0">
        <w:rPr>
          <w:rFonts w:ascii="Arial" w:hAnsi="Arial" w:cs="Arial"/>
          <w:i/>
          <w:color w:val="000000"/>
          <w:sz w:val="24"/>
          <w:szCs w:val="24"/>
        </w:rPr>
        <w:t>Safer Nursing Care Tool</w:t>
      </w:r>
      <w:r w:rsidR="00817745" w:rsidRPr="003B47CF">
        <w:rPr>
          <w:rFonts w:ascii="Arial" w:hAnsi="Arial" w:cs="Arial"/>
          <w:color w:val="000000"/>
          <w:sz w:val="24"/>
          <w:szCs w:val="24"/>
        </w:rPr>
        <w:t xml:space="preserve">. </w:t>
      </w:r>
    </w:p>
    <w:p w:rsidR="00817745" w:rsidRDefault="00817745" w:rsidP="0019124E">
      <w:pPr>
        <w:autoSpaceDE w:val="0"/>
        <w:autoSpaceDN w:val="0"/>
        <w:adjustRightInd w:val="0"/>
        <w:rPr>
          <w:rFonts w:ascii="Arial" w:hAnsi="Arial"/>
          <w:sz w:val="24"/>
        </w:rPr>
      </w:pPr>
    </w:p>
    <w:p w:rsidR="00F27EE1" w:rsidRPr="003B47CF" w:rsidRDefault="00817745" w:rsidP="00817745">
      <w:pPr>
        <w:pStyle w:val="ListParagraph"/>
        <w:ind w:left="0"/>
        <w:rPr>
          <w:rFonts w:cs="Arial"/>
          <w:color w:val="000000"/>
          <w:szCs w:val="24"/>
        </w:rPr>
      </w:pPr>
      <w:r w:rsidRPr="003B47CF">
        <w:rPr>
          <w:rFonts w:cs="Arial"/>
          <w:color w:val="000000"/>
          <w:szCs w:val="24"/>
        </w:rPr>
        <w:t>Currently, t</w:t>
      </w:r>
      <w:r w:rsidR="00F27EE1" w:rsidRPr="003B47CF">
        <w:rPr>
          <w:rFonts w:cs="Arial"/>
          <w:color w:val="000000"/>
          <w:szCs w:val="24"/>
        </w:rPr>
        <w:t xml:space="preserve">here </w:t>
      </w:r>
      <w:r w:rsidR="00EF5304" w:rsidRPr="003B47CF">
        <w:rPr>
          <w:rFonts w:cs="Arial"/>
          <w:color w:val="000000"/>
          <w:szCs w:val="24"/>
        </w:rPr>
        <w:t>are no</w:t>
      </w:r>
      <w:r w:rsidR="00F27EE1" w:rsidRPr="003B47CF">
        <w:rPr>
          <w:rFonts w:cs="Arial"/>
          <w:color w:val="000000"/>
          <w:szCs w:val="24"/>
        </w:rPr>
        <w:t xml:space="preserve"> </w:t>
      </w:r>
      <w:r w:rsidRPr="003B47CF">
        <w:rPr>
          <w:rFonts w:cs="Arial"/>
          <w:color w:val="000000"/>
          <w:szCs w:val="24"/>
        </w:rPr>
        <w:t>similarly established workforce planning</w:t>
      </w:r>
      <w:r w:rsidR="00F27EE1" w:rsidRPr="003B47CF">
        <w:rPr>
          <w:rFonts w:cs="Arial"/>
          <w:color w:val="000000"/>
          <w:szCs w:val="24"/>
        </w:rPr>
        <w:t xml:space="preserve"> tool</w:t>
      </w:r>
      <w:r w:rsidRPr="003B47CF">
        <w:rPr>
          <w:rFonts w:cs="Arial"/>
          <w:color w:val="000000"/>
          <w:szCs w:val="24"/>
        </w:rPr>
        <w:t>s</w:t>
      </w:r>
      <w:r w:rsidR="00F27EE1" w:rsidRPr="003B47CF">
        <w:rPr>
          <w:rFonts w:cs="Arial"/>
          <w:color w:val="000000"/>
          <w:szCs w:val="24"/>
        </w:rPr>
        <w:t xml:space="preserve"> in use for other care setting</w:t>
      </w:r>
      <w:r w:rsidRPr="003B47CF">
        <w:rPr>
          <w:rFonts w:cs="Arial"/>
          <w:color w:val="000000"/>
          <w:szCs w:val="24"/>
        </w:rPr>
        <w:t>s</w:t>
      </w:r>
      <w:r w:rsidR="00F27EE1" w:rsidRPr="003B47CF">
        <w:rPr>
          <w:rFonts w:cs="Arial"/>
          <w:color w:val="000000"/>
          <w:szCs w:val="24"/>
        </w:rPr>
        <w:t xml:space="preserve"> which is why</w:t>
      </w:r>
      <w:r w:rsidR="0040521B" w:rsidRPr="003B47CF">
        <w:rPr>
          <w:rFonts w:cs="Arial"/>
          <w:color w:val="000000"/>
          <w:szCs w:val="24"/>
        </w:rPr>
        <w:t xml:space="preserve"> </w:t>
      </w:r>
      <w:r w:rsidR="005F4BF1" w:rsidRPr="003B47CF">
        <w:rPr>
          <w:rFonts w:cs="Arial"/>
          <w:color w:val="000000"/>
          <w:szCs w:val="24"/>
        </w:rPr>
        <w:t>–</w:t>
      </w:r>
      <w:r w:rsidR="00F27EE1" w:rsidRPr="003B47CF">
        <w:rPr>
          <w:rFonts w:cs="Arial"/>
          <w:color w:val="000000"/>
          <w:szCs w:val="24"/>
        </w:rPr>
        <w:t xml:space="preserve"> </w:t>
      </w:r>
      <w:r w:rsidR="005F4BF1" w:rsidRPr="003B47CF">
        <w:rPr>
          <w:rFonts w:cs="Arial"/>
          <w:color w:val="000000"/>
          <w:szCs w:val="24"/>
        </w:rPr>
        <w:t xml:space="preserve">through </w:t>
      </w:r>
      <w:r w:rsidRPr="003B47CF">
        <w:rPr>
          <w:rFonts w:cs="Arial"/>
          <w:color w:val="000000"/>
          <w:szCs w:val="24"/>
        </w:rPr>
        <w:t>the All Wales Nurse Staffing Levels Group</w:t>
      </w:r>
      <w:r w:rsidR="001030E2" w:rsidRPr="003B47CF">
        <w:rPr>
          <w:rFonts w:cs="Arial"/>
          <w:color w:val="000000"/>
          <w:szCs w:val="24"/>
        </w:rPr>
        <w:t xml:space="preserve"> (AWNSLG)</w:t>
      </w:r>
      <w:r w:rsidRPr="003B47CF">
        <w:rPr>
          <w:rFonts w:cs="Arial"/>
          <w:color w:val="000000"/>
          <w:szCs w:val="24"/>
        </w:rPr>
        <w:t xml:space="preserve"> </w:t>
      </w:r>
      <w:r w:rsidR="005F4BF1" w:rsidRPr="003B47CF">
        <w:rPr>
          <w:rFonts w:cs="Arial"/>
          <w:color w:val="000000"/>
          <w:szCs w:val="24"/>
        </w:rPr>
        <w:t xml:space="preserve">- </w:t>
      </w:r>
      <w:r w:rsidR="0040521B" w:rsidRPr="003B47CF">
        <w:rPr>
          <w:rFonts w:cs="Arial"/>
          <w:color w:val="000000"/>
          <w:szCs w:val="24"/>
        </w:rPr>
        <w:t xml:space="preserve">we are </w:t>
      </w:r>
      <w:r w:rsidR="00F27EE1" w:rsidRPr="003B47CF">
        <w:rPr>
          <w:rFonts w:cs="Arial"/>
          <w:color w:val="000000"/>
          <w:szCs w:val="24"/>
        </w:rPr>
        <w:t xml:space="preserve">building </w:t>
      </w:r>
      <w:r w:rsidR="00F55697" w:rsidRPr="003B47CF">
        <w:rPr>
          <w:rFonts w:cs="Arial"/>
          <w:color w:val="000000"/>
          <w:szCs w:val="24"/>
        </w:rPr>
        <w:t xml:space="preserve">new </w:t>
      </w:r>
      <w:r w:rsidR="00F27EE1" w:rsidRPr="003B47CF">
        <w:rPr>
          <w:rFonts w:cs="Arial"/>
          <w:color w:val="000000"/>
          <w:szCs w:val="24"/>
        </w:rPr>
        <w:t>tools and plan to undertake the t</w:t>
      </w:r>
      <w:r w:rsidR="001030E2" w:rsidRPr="003B47CF">
        <w:rPr>
          <w:rFonts w:cs="Arial"/>
          <w:color w:val="000000"/>
          <w:szCs w:val="24"/>
        </w:rPr>
        <w:t xml:space="preserve">esting across </w:t>
      </w:r>
      <w:r w:rsidR="00AA362E">
        <w:rPr>
          <w:rFonts w:cs="Arial"/>
          <w:color w:val="000000"/>
          <w:szCs w:val="24"/>
        </w:rPr>
        <w:t xml:space="preserve">NHS </w:t>
      </w:r>
      <w:r w:rsidR="001030E2" w:rsidRPr="003B47CF">
        <w:rPr>
          <w:rFonts w:cs="Arial"/>
          <w:color w:val="000000"/>
          <w:szCs w:val="24"/>
        </w:rPr>
        <w:t>Wales</w:t>
      </w:r>
      <w:r w:rsidR="00184E7B">
        <w:rPr>
          <w:rFonts w:cs="Arial"/>
          <w:color w:val="000000"/>
          <w:szCs w:val="24"/>
        </w:rPr>
        <w:t xml:space="preserve"> to develop the necessary evidence base</w:t>
      </w:r>
      <w:r w:rsidR="001030E2" w:rsidRPr="003B47CF">
        <w:rPr>
          <w:rFonts w:cs="Arial"/>
          <w:color w:val="000000"/>
          <w:szCs w:val="24"/>
        </w:rPr>
        <w:t>. Inevitably, t</w:t>
      </w:r>
      <w:r w:rsidR="00F27EE1" w:rsidRPr="003B47CF">
        <w:rPr>
          <w:rFonts w:cs="Arial"/>
          <w:color w:val="000000"/>
          <w:szCs w:val="24"/>
        </w:rPr>
        <w:t>his</w:t>
      </w:r>
      <w:r w:rsidR="005F4BF1" w:rsidRPr="003B47CF">
        <w:rPr>
          <w:rFonts w:cs="Arial"/>
          <w:color w:val="000000"/>
          <w:szCs w:val="24"/>
        </w:rPr>
        <w:t xml:space="preserve"> process and the necessary engagement with teams throughout the country is </w:t>
      </w:r>
      <w:r w:rsidR="001030E2" w:rsidRPr="003B47CF">
        <w:rPr>
          <w:rFonts w:cs="Arial"/>
          <w:color w:val="000000"/>
          <w:szCs w:val="24"/>
        </w:rPr>
        <w:t>not something that can be achieved overnight</w:t>
      </w:r>
      <w:r w:rsidR="0040521B" w:rsidRPr="003B47CF">
        <w:rPr>
          <w:rFonts w:cs="Arial"/>
          <w:color w:val="000000"/>
          <w:szCs w:val="24"/>
        </w:rPr>
        <w:t xml:space="preserve">, but it is vital </w:t>
      </w:r>
      <w:r w:rsidR="00F55697" w:rsidRPr="003B47CF">
        <w:rPr>
          <w:rFonts w:cs="Arial"/>
          <w:color w:val="000000"/>
          <w:szCs w:val="24"/>
        </w:rPr>
        <w:t>to allow the working groups</w:t>
      </w:r>
      <w:r w:rsidR="00BB5EAB" w:rsidRPr="003B47CF">
        <w:rPr>
          <w:rFonts w:cs="Arial"/>
          <w:color w:val="000000"/>
          <w:szCs w:val="24"/>
        </w:rPr>
        <w:t xml:space="preserve"> the time they need to</w:t>
      </w:r>
      <w:r w:rsidR="00AA362E">
        <w:rPr>
          <w:rFonts w:cs="Arial"/>
          <w:color w:val="000000"/>
          <w:szCs w:val="24"/>
        </w:rPr>
        <w:t xml:space="preserve"> scope, undertake, pilot, review and</w:t>
      </w:r>
      <w:r w:rsidR="00BB5EAB" w:rsidRPr="003B47CF">
        <w:rPr>
          <w:rFonts w:cs="Arial"/>
          <w:color w:val="000000"/>
          <w:szCs w:val="24"/>
        </w:rPr>
        <w:t xml:space="preserve"> complete the </w:t>
      </w:r>
      <w:r w:rsidR="001030E2" w:rsidRPr="003B47CF">
        <w:rPr>
          <w:rFonts w:cs="Arial"/>
          <w:color w:val="000000"/>
          <w:szCs w:val="24"/>
        </w:rPr>
        <w:t xml:space="preserve">development work </w:t>
      </w:r>
      <w:r w:rsidR="00AA362E" w:rsidRPr="003B47CF">
        <w:rPr>
          <w:rFonts w:cs="Arial"/>
          <w:color w:val="000000"/>
          <w:szCs w:val="24"/>
        </w:rPr>
        <w:t>thoroughly</w:t>
      </w:r>
      <w:r w:rsidR="001030E2" w:rsidRPr="003B47CF">
        <w:rPr>
          <w:rFonts w:cs="Arial"/>
          <w:color w:val="000000"/>
          <w:szCs w:val="24"/>
        </w:rPr>
        <w:t>. If we</w:t>
      </w:r>
      <w:r w:rsidR="00F55697" w:rsidRPr="003B47CF">
        <w:rPr>
          <w:rFonts w:cs="Arial"/>
          <w:color w:val="000000"/>
          <w:szCs w:val="24"/>
        </w:rPr>
        <w:t xml:space="preserve"> </w:t>
      </w:r>
      <w:r w:rsidR="001030E2" w:rsidRPr="003B47CF">
        <w:rPr>
          <w:rFonts w:cs="Arial"/>
          <w:color w:val="000000"/>
          <w:szCs w:val="24"/>
        </w:rPr>
        <w:t>rush to produce these tools and get them</w:t>
      </w:r>
      <w:r w:rsidR="00F27EE1" w:rsidRPr="003B47CF">
        <w:rPr>
          <w:rFonts w:cs="Arial"/>
          <w:color w:val="000000"/>
          <w:szCs w:val="24"/>
        </w:rPr>
        <w:t xml:space="preserve"> wrong</w:t>
      </w:r>
      <w:r w:rsidR="001030E2" w:rsidRPr="003B47CF">
        <w:rPr>
          <w:rFonts w:cs="Arial"/>
          <w:color w:val="000000"/>
          <w:szCs w:val="24"/>
        </w:rPr>
        <w:t>, they could</w:t>
      </w:r>
      <w:r w:rsidR="003553C7">
        <w:rPr>
          <w:rFonts w:cs="Arial"/>
          <w:color w:val="000000"/>
          <w:szCs w:val="24"/>
        </w:rPr>
        <w:t xml:space="preserve"> either result in</w:t>
      </w:r>
      <w:r w:rsidR="001030E2" w:rsidRPr="003B47CF">
        <w:rPr>
          <w:rFonts w:cs="Arial"/>
          <w:color w:val="000000"/>
          <w:szCs w:val="24"/>
        </w:rPr>
        <w:t xml:space="preserve"> </w:t>
      </w:r>
      <w:r w:rsidR="003553C7" w:rsidRPr="003B47CF">
        <w:rPr>
          <w:rFonts w:cs="Arial"/>
          <w:color w:val="000000"/>
          <w:szCs w:val="24"/>
        </w:rPr>
        <w:t xml:space="preserve">inappropriately high staffing levels </w:t>
      </w:r>
      <w:r w:rsidR="003553C7">
        <w:rPr>
          <w:rFonts w:cs="Arial"/>
          <w:color w:val="000000"/>
          <w:szCs w:val="24"/>
        </w:rPr>
        <w:t>which would be</w:t>
      </w:r>
      <w:r w:rsidR="00F27EE1" w:rsidRPr="003B47CF">
        <w:rPr>
          <w:rFonts w:cs="Arial"/>
          <w:color w:val="000000"/>
          <w:szCs w:val="24"/>
        </w:rPr>
        <w:t xml:space="preserve"> too </w:t>
      </w:r>
      <w:r w:rsidR="00F27EE1" w:rsidRPr="003B47CF">
        <w:rPr>
          <w:rFonts w:cs="Arial"/>
          <w:color w:val="000000"/>
          <w:szCs w:val="24"/>
        </w:rPr>
        <w:lastRenderedPageBreak/>
        <w:t>costly with n</w:t>
      </w:r>
      <w:r w:rsidR="001030E2" w:rsidRPr="003B47CF">
        <w:rPr>
          <w:rFonts w:cs="Arial"/>
          <w:color w:val="000000"/>
          <w:szCs w:val="24"/>
        </w:rPr>
        <w:t xml:space="preserve">o added </w:t>
      </w:r>
      <w:r w:rsidR="003553C7">
        <w:rPr>
          <w:rFonts w:cs="Arial"/>
          <w:color w:val="000000"/>
          <w:szCs w:val="24"/>
        </w:rPr>
        <w:t>patient benefit</w:t>
      </w:r>
      <w:r w:rsidR="00D2007D" w:rsidRPr="003B47CF">
        <w:rPr>
          <w:rFonts w:cs="Arial"/>
          <w:color w:val="000000"/>
          <w:szCs w:val="24"/>
        </w:rPr>
        <w:t>,</w:t>
      </w:r>
      <w:r w:rsidR="001030E2" w:rsidRPr="003B47CF">
        <w:rPr>
          <w:rFonts w:cs="Arial"/>
          <w:color w:val="000000"/>
          <w:szCs w:val="24"/>
        </w:rPr>
        <w:t xml:space="preserve"> or more importantly, </w:t>
      </w:r>
      <w:r w:rsidR="003553C7">
        <w:rPr>
          <w:rFonts w:cs="Arial"/>
          <w:color w:val="000000"/>
          <w:szCs w:val="24"/>
        </w:rPr>
        <w:t>they could lead to patient</w:t>
      </w:r>
      <w:r w:rsidR="001030E2" w:rsidRPr="003B47CF">
        <w:rPr>
          <w:rFonts w:cs="Arial"/>
          <w:color w:val="000000"/>
          <w:szCs w:val="24"/>
        </w:rPr>
        <w:t xml:space="preserve"> </w:t>
      </w:r>
      <w:r w:rsidR="003553C7">
        <w:rPr>
          <w:rFonts w:cs="Arial"/>
          <w:color w:val="000000"/>
          <w:szCs w:val="24"/>
        </w:rPr>
        <w:t>harm</w:t>
      </w:r>
      <w:r w:rsidR="001030E2" w:rsidRPr="003B47CF">
        <w:rPr>
          <w:rFonts w:cs="Arial"/>
          <w:color w:val="000000"/>
          <w:szCs w:val="24"/>
        </w:rPr>
        <w:t xml:space="preserve"> due to staffing levels being too low</w:t>
      </w:r>
      <w:r w:rsidR="00D2007D" w:rsidRPr="003B47CF">
        <w:rPr>
          <w:rFonts w:cs="Arial"/>
          <w:color w:val="000000"/>
          <w:szCs w:val="24"/>
        </w:rPr>
        <w:t>.</w:t>
      </w:r>
    </w:p>
    <w:p w:rsidR="00833E4E" w:rsidRDefault="00833E4E" w:rsidP="00951503">
      <w:pPr>
        <w:autoSpaceDE w:val="0"/>
        <w:autoSpaceDN w:val="0"/>
        <w:adjustRightInd w:val="0"/>
        <w:rPr>
          <w:rFonts w:ascii="Arial" w:hAnsi="Arial"/>
          <w:sz w:val="24"/>
        </w:rPr>
      </w:pPr>
    </w:p>
    <w:p w:rsidR="009817E3" w:rsidRDefault="00833E4E" w:rsidP="00951503">
      <w:pPr>
        <w:autoSpaceDE w:val="0"/>
        <w:autoSpaceDN w:val="0"/>
        <w:adjustRightInd w:val="0"/>
        <w:rPr>
          <w:rFonts w:ascii="Arial" w:hAnsi="Arial"/>
          <w:sz w:val="24"/>
        </w:rPr>
      </w:pPr>
      <w:r>
        <w:rPr>
          <w:rFonts w:ascii="Arial" w:hAnsi="Arial"/>
          <w:sz w:val="24"/>
        </w:rPr>
        <w:t xml:space="preserve">There are five work streams overseen by the </w:t>
      </w:r>
      <w:r w:rsidR="001030E2" w:rsidRPr="001030E2">
        <w:rPr>
          <w:rFonts w:ascii="Arial" w:hAnsi="Arial"/>
          <w:sz w:val="24"/>
        </w:rPr>
        <w:t xml:space="preserve">AWNSLG </w:t>
      </w:r>
      <w:r>
        <w:rPr>
          <w:rFonts w:ascii="Arial" w:hAnsi="Arial"/>
          <w:sz w:val="24"/>
        </w:rPr>
        <w:t>that are exploring extension of the Act into their respective nurse settings. These are:</w:t>
      </w:r>
      <w:r w:rsidR="009817E3">
        <w:rPr>
          <w:rFonts w:ascii="Arial" w:hAnsi="Arial"/>
          <w:sz w:val="24"/>
        </w:rPr>
        <w:t xml:space="preserve"> </w:t>
      </w:r>
    </w:p>
    <w:p w:rsidR="009817E3" w:rsidRDefault="009817E3" w:rsidP="00951503">
      <w:pPr>
        <w:autoSpaceDE w:val="0"/>
        <w:autoSpaceDN w:val="0"/>
        <w:adjustRightInd w:val="0"/>
        <w:rPr>
          <w:rFonts w:ascii="Arial" w:hAnsi="Arial"/>
          <w:sz w:val="24"/>
        </w:rPr>
      </w:pPr>
    </w:p>
    <w:p w:rsidR="009817E3" w:rsidRDefault="00833E4E" w:rsidP="009817E3">
      <w:pPr>
        <w:numPr>
          <w:ilvl w:val="0"/>
          <w:numId w:val="5"/>
        </w:numPr>
        <w:autoSpaceDE w:val="0"/>
        <w:autoSpaceDN w:val="0"/>
        <w:adjustRightInd w:val="0"/>
        <w:rPr>
          <w:rFonts w:ascii="Arial" w:hAnsi="Arial"/>
          <w:sz w:val="24"/>
        </w:rPr>
      </w:pPr>
      <w:r>
        <w:rPr>
          <w:rFonts w:ascii="Arial" w:hAnsi="Arial"/>
          <w:sz w:val="24"/>
        </w:rPr>
        <w:t xml:space="preserve">adult mental health inpatient wards; </w:t>
      </w:r>
    </w:p>
    <w:p w:rsidR="009817E3" w:rsidRDefault="009817E3" w:rsidP="009817E3">
      <w:pPr>
        <w:numPr>
          <w:ilvl w:val="0"/>
          <w:numId w:val="5"/>
        </w:numPr>
        <w:autoSpaceDE w:val="0"/>
        <w:autoSpaceDN w:val="0"/>
        <w:adjustRightInd w:val="0"/>
        <w:rPr>
          <w:rFonts w:ascii="Arial" w:hAnsi="Arial"/>
          <w:sz w:val="24"/>
        </w:rPr>
      </w:pPr>
      <w:r>
        <w:rPr>
          <w:rFonts w:ascii="Arial" w:hAnsi="Arial"/>
          <w:sz w:val="24"/>
        </w:rPr>
        <w:t xml:space="preserve">district nursing; </w:t>
      </w:r>
    </w:p>
    <w:p w:rsidR="009817E3" w:rsidRDefault="009817E3" w:rsidP="009817E3">
      <w:pPr>
        <w:numPr>
          <w:ilvl w:val="0"/>
          <w:numId w:val="5"/>
        </w:numPr>
        <w:autoSpaceDE w:val="0"/>
        <w:autoSpaceDN w:val="0"/>
        <w:adjustRightInd w:val="0"/>
        <w:rPr>
          <w:rFonts w:ascii="Arial" w:hAnsi="Arial"/>
          <w:sz w:val="24"/>
        </w:rPr>
      </w:pPr>
      <w:r>
        <w:rPr>
          <w:rFonts w:ascii="Arial" w:hAnsi="Arial"/>
          <w:sz w:val="24"/>
        </w:rPr>
        <w:t xml:space="preserve">health visitors; </w:t>
      </w:r>
    </w:p>
    <w:p w:rsidR="009817E3" w:rsidRDefault="00833E4E" w:rsidP="009817E3">
      <w:pPr>
        <w:numPr>
          <w:ilvl w:val="0"/>
          <w:numId w:val="5"/>
        </w:numPr>
        <w:autoSpaceDE w:val="0"/>
        <w:autoSpaceDN w:val="0"/>
        <w:adjustRightInd w:val="0"/>
        <w:rPr>
          <w:rFonts w:ascii="Arial" w:hAnsi="Arial"/>
          <w:sz w:val="24"/>
        </w:rPr>
      </w:pPr>
      <w:r>
        <w:rPr>
          <w:rFonts w:ascii="Arial" w:hAnsi="Arial"/>
          <w:sz w:val="24"/>
        </w:rPr>
        <w:t xml:space="preserve">care homes; and </w:t>
      </w:r>
    </w:p>
    <w:p w:rsidR="009817E3" w:rsidRDefault="00833E4E" w:rsidP="009817E3">
      <w:pPr>
        <w:numPr>
          <w:ilvl w:val="0"/>
          <w:numId w:val="5"/>
        </w:numPr>
        <w:autoSpaceDE w:val="0"/>
        <w:autoSpaceDN w:val="0"/>
        <w:adjustRightInd w:val="0"/>
        <w:rPr>
          <w:rFonts w:ascii="Arial" w:hAnsi="Arial"/>
          <w:sz w:val="24"/>
        </w:rPr>
      </w:pPr>
      <w:r>
        <w:rPr>
          <w:rFonts w:ascii="Arial" w:hAnsi="Arial"/>
          <w:sz w:val="24"/>
        </w:rPr>
        <w:t xml:space="preserve">paediatric inpatient wards. </w:t>
      </w:r>
    </w:p>
    <w:p w:rsidR="009817E3" w:rsidRDefault="009817E3" w:rsidP="009817E3">
      <w:pPr>
        <w:autoSpaceDE w:val="0"/>
        <w:autoSpaceDN w:val="0"/>
        <w:adjustRightInd w:val="0"/>
        <w:ind w:left="720"/>
        <w:rPr>
          <w:rFonts w:ascii="Arial" w:hAnsi="Arial"/>
          <w:sz w:val="24"/>
        </w:rPr>
      </w:pPr>
    </w:p>
    <w:p w:rsidR="00833E4E" w:rsidRDefault="003553C7" w:rsidP="009817E3">
      <w:pPr>
        <w:autoSpaceDE w:val="0"/>
        <w:autoSpaceDN w:val="0"/>
        <w:adjustRightInd w:val="0"/>
        <w:rPr>
          <w:rFonts w:ascii="Arial" w:hAnsi="Arial"/>
          <w:sz w:val="24"/>
        </w:rPr>
      </w:pPr>
      <w:r>
        <w:rPr>
          <w:rFonts w:ascii="Arial" w:hAnsi="Arial"/>
          <w:sz w:val="24"/>
        </w:rPr>
        <w:t>The</w:t>
      </w:r>
      <w:r w:rsidR="00C40A23">
        <w:rPr>
          <w:rFonts w:ascii="Arial" w:hAnsi="Arial"/>
          <w:sz w:val="24"/>
        </w:rPr>
        <w:t xml:space="preserve"> working groups</w:t>
      </w:r>
      <w:r>
        <w:rPr>
          <w:rFonts w:ascii="Arial" w:hAnsi="Arial"/>
          <w:sz w:val="24"/>
        </w:rPr>
        <w:t xml:space="preserve"> are</w:t>
      </w:r>
      <w:r w:rsidR="00C40A23">
        <w:rPr>
          <w:rFonts w:ascii="Arial" w:hAnsi="Arial"/>
          <w:sz w:val="24"/>
        </w:rPr>
        <w:t xml:space="preserve"> </w:t>
      </w:r>
      <w:r>
        <w:rPr>
          <w:rFonts w:ascii="Arial" w:hAnsi="Arial"/>
          <w:sz w:val="24"/>
        </w:rPr>
        <w:t xml:space="preserve">following a similar methodology to meeting the requirements of the Act and </w:t>
      </w:r>
      <w:r w:rsidR="00C40A23">
        <w:rPr>
          <w:rFonts w:ascii="Arial" w:hAnsi="Arial"/>
          <w:sz w:val="24"/>
        </w:rPr>
        <w:t xml:space="preserve">are at varying stages of developing the necessary evidence-based </w:t>
      </w:r>
      <w:r w:rsidR="003B0C36">
        <w:rPr>
          <w:rFonts w:ascii="Arial" w:hAnsi="Arial"/>
          <w:sz w:val="24"/>
        </w:rPr>
        <w:t xml:space="preserve">workforce planning </w:t>
      </w:r>
      <w:r w:rsidR="00C40A23">
        <w:rPr>
          <w:rFonts w:ascii="Arial" w:hAnsi="Arial"/>
          <w:sz w:val="24"/>
        </w:rPr>
        <w:t xml:space="preserve">tools akin to the WLOC. </w:t>
      </w:r>
      <w:r w:rsidR="00BA3F4B">
        <w:rPr>
          <w:rFonts w:ascii="Arial" w:hAnsi="Arial"/>
          <w:sz w:val="24"/>
        </w:rPr>
        <w:t>T</w:t>
      </w:r>
      <w:r w:rsidR="00AD2C11">
        <w:rPr>
          <w:rFonts w:ascii="Arial" w:hAnsi="Arial"/>
          <w:sz w:val="24"/>
        </w:rPr>
        <w:t>he five</w:t>
      </w:r>
      <w:r w:rsidR="009817E3">
        <w:rPr>
          <w:rFonts w:ascii="Arial" w:hAnsi="Arial"/>
          <w:sz w:val="24"/>
        </w:rPr>
        <w:t xml:space="preserve"> settings vary greatly in the nature of their delivery of nursing </w:t>
      </w:r>
      <w:r w:rsidR="00FC36FA">
        <w:rPr>
          <w:rFonts w:ascii="Arial" w:hAnsi="Arial"/>
          <w:sz w:val="24"/>
        </w:rPr>
        <w:t>care;</w:t>
      </w:r>
      <w:r w:rsidR="009817E3">
        <w:rPr>
          <w:rFonts w:ascii="Arial" w:hAnsi="Arial"/>
          <w:sz w:val="24"/>
        </w:rPr>
        <w:t xml:space="preserve"> </w:t>
      </w:r>
      <w:r w:rsidR="00BA3F4B">
        <w:rPr>
          <w:rFonts w:ascii="Arial" w:hAnsi="Arial"/>
          <w:sz w:val="24"/>
        </w:rPr>
        <w:t>therefore the working groups</w:t>
      </w:r>
      <w:r w:rsidR="009817E3">
        <w:rPr>
          <w:rFonts w:ascii="Arial" w:hAnsi="Arial"/>
          <w:sz w:val="24"/>
        </w:rPr>
        <w:t xml:space="preserve"> are pursuing </w:t>
      </w:r>
      <w:r w:rsidR="00BA3F4B">
        <w:rPr>
          <w:rFonts w:ascii="Arial" w:hAnsi="Arial"/>
          <w:sz w:val="24"/>
        </w:rPr>
        <w:t xml:space="preserve">different types of </w:t>
      </w:r>
      <w:r w:rsidR="007E675E">
        <w:rPr>
          <w:rFonts w:ascii="Arial" w:hAnsi="Arial"/>
          <w:sz w:val="24"/>
        </w:rPr>
        <w:t xml:space="preserve">workforce planning tools that will be suitable for their respective areas. The setting that most closely resembles the adult acute medical and surgical setting </w:t>
      </w:r>
      <w:r w:rsidR="003B0C36">
        <w:rPr>
          <w:rFonts w:ascii="Arial" w:hAnsi="Arial"/>
          <w:sz w:val="24"/>
        </w:rPr>
        <w:t>is paediatric inpatients</w:t>
      </w:r>
      <w:r w:rsidR="007E675E">
        <w:rPr>
          <w:rFonts w:ascii="Arial" w:hAnsi="Arial"/>
          <w:sz w:val="24"/>
        </w:rPr>
        <w:t xml:space="preserve">. This </w:t>
      </w:r>
      <w:r w:rsidR="002E2B84">
        <w:rPr>
          <w:rFonts w:ascii="Arial" w:hAnsi="Arial"/>
          <w:sz w:val="24"/>
        </w:rPr>
        <w:t xml:space="preserve">is due to both being based in an inpatient ward setting where physical health descriptors are the primary factor in determining a patient’s level of acuity. </w:t>
      </w:r>
    </w:p>
    <w:p w:rsidR="003B0C36" w:rsidRDefault="003B0C36" w:rsidP="009817E3">
      <w:pPr>
        <w:autoSpaceDE w:val="0"/>
        <w:autoSpaceDN w:val="0"/>
        <w:adjustRightInd w:val="0"/>
        <w:rPr>
          <w:rFonts w:ascii="Arial" w:hAnsi="Arial"/>
          <w:sz w:val="24"/>
        </w:rPr>
      </w:pPr>
    </w:p>
    <w:p w:rsidR="002E2B84" w:rsidRDefault="00420C9A" w:rsidP="009817E3">
      <w:pPr>
        <w:autoSpaceDE w:val="0"/>
        <w:autoSpaceDN w:val="0"/>
        <w:adjustRightInd w:val="0"/>
        <w:rPr>
          <w:rFonts w:ascii="Arial" w:hAnsi="Arial"/>
          <w:sz w:val="24"/>
        </w:rPr>
      </w:pPr>
      <w:r>
        <w:rPr>
          <w:rFonts w:ascii="Arial" w:hAnsi="Arial"/>
          <w:sz w:val="24"/>
        </w:rPr>
        <w:t>The work already undertaken to develop the WLOC tool for adult medical and surgical wards forms a solid foundation upon which the paediatrics working group can build and develop a tool fit for their speciality area.</w:t>
      </w:r>
      <w:r w:rsidR="004B392F">
        <w:rPr>
          <w:rFonts w:ascii="Arial" w:hAnsi="Arial"/>
          <w:sz w:val="24"/>
        </w:rPr>
        <w:t xml:space="preserve"> The</w:t>
      </w:r>
      <w:r>
        <w:rPr>
          <w:rFonts w:ascii="Arial" w:hAnsi="Arial"/>
          <w:sz w:val="24"/>
        </w:rPr>
        <w:t xml:space="preserve"> lessons learn</w:t>
      </w:r>
      <w:r w:rsidR="004B392F">
        <w:rPr>
          <w:rFonts w:ascii="Arial" w:hAnsi="Arial"/>
          <w:sz w:val="24"/>
        </w:rPr>
        <w:t>ed along that iterative journey are proving invaluable in the development of</w:t>
      </w:r>
      <w:r>
        <w:rPr>
          <w:rFonts w:ascii="Arial" w:hAnsi="Arial"/>
          <w:sz w:val="24"/>
        </w:rPr>
        <w:t xml:space="preserve"> the</w:t>
      </w:r>
      <w:r w:rsidR="002E2B84">
        <w:rPr>
          <w:rFonts w:ascii="Arial" w:hAnsi="Arial"/>
          <w:sz w:val="24"/>
        </w:rPr>
        <w:t xml:space="preserve"> paediatrics version of the WLOC tool</w:t>
      </w:r>
      <w:r w:rsidR="004B392F">
        <w:rPr>
          <w:rFonts w:ascii="Arial" w:hAnsi="Arial"/>
          <w:sz w:val="24"/>
        </w:rPr>
        <w:t xml:space="preserve"> which has been underway</w:t>
      </w:r>
      <w:r w:rsidR="002E2B84">
        <w:rPr>
          <w:rFonts w:ascii="Arial" w:hAnsi="Arial"/>
          <w:sz w:val="24"/>
        </w:rPr>
        <w:t xml:space="preserve"> since 2017.</w:t>
      </w:r>
    </w:p>
    <w:p w:rsidR="00951503" w:rsidRDefault="00951503" w:rsidP="00951503">
      <w:pPr>
        <w:autoSpaceDE w:val="0"/>
        <w:autoSpaceDN w:val="0"/>
        <w:adjustRightInd w:val="0"/>
        <w:rPr>
          <w:rFonts w:ascii="Arial" w:hAnsi="Arial"/>
          <w:sz w:val="24"/>
        </w:rPr>
      </w:pPr>
    </w:p>
    <w:p w:rsidR="00951503" w:rsidRDefault="00C75152" w:rsidP="00951503">
      <w:pPr>
        <w:autoSpaceDE w:val="0"/>
        <w:autoSpaceDN w:val="0"/>
        <w:adjustRightInd w:val="0"/>
        <w:rPr>
          <w:rFonts w:ascii="Arial" w:hAnsi="Arial"/>
          <w:sz w:val="24"/>
        </w:rPr>
      </w:pPr>
      <w:r w:rsidRPr="00480246">
        <w:rPr>
          <w:rFonts w:ascii="Arial" w:hAnsi="Arial"/>
          <w:sz w:val="24"/>
        </w:rPr>
        <w:t>Due to the advanced stage of the paediatrics working group, i</w:t>
      </w:r>
      <w:r w:rsidR="00951503" w:rsidRPr="00480246">
        <w:rPr>
          <w:rFonts w:ascii="Arial" w:hAnsi="Arial"/>
          <w:sz w:val="24"/>
        </w:rPr>
        <w:t xml:space="preserve">n April last year I agreed to fund a two-year post for a project lead to help accelerate the progress of the paediatrics work stream. This project lead has been </w:t>
      </w:r>
      <w:r w:rsidR="00C40A23" w:rsidRPr="00480246">
        <w:rPr>
          <w:rFonts w:ascii="Arial" w:hAnsi="Arial"/>
          <w:sz w:val="24"/>
        </w:rPr>
        <w:t xml:space="preserve">in post </w:t>
      </w:r>
      <w:r w:rsidRPr="00480246">
        <w:rPr>
          <w:rFonts w:ascii="Arial" w:hAnsi="Arial"/>
          <w:sz w:val="24"/>
        </w:rPr>
        <w:t xml:space="preserve">within Public Health Wales since January and is leading the development of a paediatric </w:t>
      </w:r>
      <w:r w:rsidR="002E2B84">
        <w:rPr>
          <w:rFonts w:ascii="Arial" w:hAnsi="Arial"/>
          <w:sz w:val="24"/>
        </w:rPr>
        <w:t>WLOC</w:t>
      </w:r>
      <w:r w:rsidRPr="00480246">
        <w:rPr>
          <w:rFonts w:ascii="Arial" w:hAnsi="Arial"/>
          <w:sz w:val="24"/>
        </w:rPr>
        <w:t xml:space="preserve"> tool</w:t>
      </w:r>
      <w:r w:rsidR="008348C0">
        <w:rPr>
          <w:rFonts w:ascii="Arial" w:hAnsi="Arial"/>
          <w:sz w:val="24"/>
        </w:rPr>
        <w:t xml:space="preserve">. This is expected to take approximately the same amount of time (2 years) </w:t>
      </w:r>
      <w:r w:rsidR="00480246">
        <w:rPr>
          <w:rFonts w:ascii="Arial" w:hAnsi="Arial"/>
          <w:sz w:val="24"/>
        </w:rPr>
        <w:t>as th</w:t>
      </w:r>
      <w:r w:rsidR="008348C0">
        <w:rPr>
          <w:rFonts w:ascii="Arial" w:hAnsi="Arial"/>
          <w:sz w:val="24"/>
        </w:rPr>
        <w:t>e development of the adult WLOC</w:t>
      </w:r>
      <w:r w:rsidR="00951503" w:rsidRPr="00480246">
        <w:rPr>
          <w:rFonts w:ascii="Arial" w:hAnsi="Arial"/>
          <w:sz w:val="24"/>
        </w:rPr>
        <w:t xml:space="preserve">. My view is that paediatrics </w:t>
      </w:r>
      <w:r w:rsidR="007A7F30" w:rsidRPr="00480246">
        <w:rPr>
          <w:rFonts w:ascii="Arial" w:hAnsi="Arial"/>
          <w:sz w:val="24"/>
        </w:rPr>
        <w:t>is the most</w:t>
      </w:r>
      <w:r w:rsidR="00951503" w:rsidRPr="00480246">
        <w:rPr>
          <w:rFonts w:ascii="Arial" w:hAnsi="Arial"/>
          <w:sz w:val="24"/>
        </w:rPr>
        <w:t xml:space="preserve"> likely</w:t>
      </w:r>
      <w:r w:rsidR="007A7F30" w:rsidRPr="00480246">
        <w:rPr>
          <w:rFonts w:ascii="Arial" w:hAnsi="Arial"/>
          <w:sz w:val="24"/>
        </w:rPr>
        <w:t xml:space="preserve"> additional setting that will be </w:t>
      </w:r>
      <w:r w:rsidR="00951503" w:rsidRPr="00480246">
        <w:rPr>
          <w:rFonts w:ascii="Arial" w:hAnsi="Arial"/>
          <w:sz w:val="24"/>
        </w:rPr>
        <w:t>ready for extension of the Act</w:t>
      </w:r>
      <w:r w:rsidR="002E2B84">
        <w:rPr>
          <w:rFonts w:ascii="Arial" w:hAnsi="Arial"/>
          <w:sz w:val="24"/>
        </w:rPr>
        <w:t xml:space="preserve"> by the end of this government term</w:t>
      </w:r>
      <w:r w:rsidR="00951503" w:rsidRPr="00480246">
        <w:rPr>
          <w:rFonts w:ascii="Arial" w:hAnsi="Arial"/>
          <w:sz w:val="24"/>
        </w:rPr>
        <w:t>.</w:t>
      </w:r>
      <w:r w:rsidR="00F52223">
        <w:rPr>
          <w:rFonts w:ascii="Arial" w:hAnsi="Arial"/>
          <w:sz w:val="24"/>
        </w:rPr>
        <w:t xml:space="preserve"> </w:t>
      </w:r>
      <w:r w:rsidR="00F52223" w:rsidRPr="00F52223">
        <w:rPr>
          <w:rFonts w:ascii="Arial" w:hAnsi="Arial"/>
          <w:sz w:val="24"/>
        </w:rPr>
        <w:t>An additional benefit of this project lead being in place has been the release of resource capacity within the All Wales Nurse Staffing Programme to focus energy on the development of the other 4 work-streams.</w:t>
      </w:r>
    </w:p>
    <w:p w:rsidR="003553C7" w:rsidRDefault="003553C7" w:rsidP="00951503">
      <w:pPr>
        <w:autoSpaceDE w:val="0"/>
        <w:autoSpaceDN w:val="0"/>
        <w:adjustRightInd w:val="0"/>
        <w:rPr>
          <w:rFonts w:ascii="Arial" w:hAnsi="Arial"/>
          <w:sz w:val="24"/>
        </w:rPr>
      </w:pPr>
    </w:p>
    <w:p w:rsidR="00B865A1" w:rsidRDefault="003553C7" w:rsidP="00951503">
      <w:pPr>
        <w:autoSpaceDE w:val="0"/>
        <w:autoSpaceDN w:val="0"/>
        <w:adjustRightInd w:val="0"/>
        <w:rPr>
          <w:rFonts w:ascii="Arial" w:hAnsi="Arial"/>
          <w:sz w:val="24"/>
        </w:rPr>
      </w:pPr>
      <w:r>
        <w:rPr>
          <w:rFonts w:ascii="Arial" w:hAnsi="Arial"/>
          <w:sz w:val="24"/>
        </w:rPr>
        <w:t xml:space="preserve">In the years leading up to </w:t>
      </w:r>
      <w:r w:rsidR="00DF25A5">
        <w:rPr>
          <w:rFonts w:ascii="Arial" w:hAnsi="Arial"/>
          <w:sz w:val="24"/>
        </w:rPr>
        <w:t>the passing of the Nurse Staffing Levels (Wales) Act, the Chief Nursing Officer and Executive Nurse Directors agreed a series of staffing principles</w:t>
      </w:r>
      <w:r w:rsidR="00275FFB">
        <w:rPr>
          <w:rFonts w:ascii="Arial" w:hAnsi="Arial"/>
          <w:sz w:val="24"/>
        </w:rPr>
        <w:t xml:space="preserve"> for adult acute medical and surgical wards which </w:t>
      </w:r>
      <w:r w:rsidR="00B07ACA">
        <w:rPr>
          <w:rFonts w:ascii="Arial" w:hAnsi="Arial"/>
          <w:sz w:val="24"/>
        </w:rPr>
        <w:t xml:space="preserve">provided a valuable picture of the nurse staffing landscape in Wales and </w:t>
      </w:r>
      <w:r w:rsidR="00275FFB">
        <w:rPr>
          <w:rFonts w:ascii="Arial" w:hAnsi="Arial"/>
          <w:sz w:val="24"/>
        </w:rPr>
        <w:t xml:space="preserve">helped to prepare the ground </w:t>
      </w:r>
      <w:r w:rsidR="00B07ACA">
        <w:rPr>
          <w:rFonts w:ascii="Arial" w:hAnsi="Arial"/>
          <w:sz w:val="24"/>
        </w:rPr>
        <w:t xml:space="preserve">in the NHS for the Act’s introduction. </w:t>
      </w:r>
    </w:p>
    <w:p w:rsidR="00B865A1" w:rsidRDefault="00B865A1" w:rsidP="00951503">
      <w:pPr>
        <w:autoSpaceDE w:val="0"/>
        <w:autoSpaceDN w:val="0"/>
        <w:adjustRightInd w:val="0"/>
        <w:rPr>
          <w:rFonts w:ascii="Arial" w:hAnsi="Arial"/>
          <w:sz w:val="24"/>
        </w:rPr>
      </w:pPr>
    </w:p>
    <w:p w:rsidR="003553C7" w:rsidRDefault="00B07ACA" w:rsidP="00951503">
      <w:pPr>
        <w:autoSpaceDE w:val="0"/>
        <w:autoSpaceDN w:val="0"/>
        <w:adjustRightInd w:val="0"/>
        <w:rPr>
          <w:rFonts w:ascii="Arial" w:hAnsi="Arial"/>
          <w:sz w:val="24"/>
        </w:rPr>
      </w:pPr>
      <w:r>
        <w:rPr>
          <w:rFonts w:ascii="Arial" w:hAnsi="Arial"/>
          <w:sz w:val="24"/>
        </w:rPr>
        <w:t>In November of 2017, the CNO agreed a similar set of staffing principles for district nursing</w:t>
      </w:r>
      <w:r w:rsidR="007A2D0E">
        <w:rPr>
          <w:rFonts w:ascii="Arial" w:hAnsi="Arial"/>
          <w:sz w:val="24"/>
        </w:rPr>
        <w:t xml:space="preserve">. Further to that, </w:t>
      </w:r>
      <w:r w:rsidR="00184E7B">
        <w:rPr>
          <w:rFonts w:ascii="Arial" w:hAnsi="Arial"/>
          <w:sz w:val="24"/>
        </w:rPr>
        <w:t>the</w:t>
      </w:r>
      <w:r w:rsidR="00112833">
        <w:rPr>
          <w:rFonts w:ascii="Arial" w:hAnsi="Arial"/>
          <w:sz w:val="24"/>
        </w:rPr>
        <w:t xml:space="preserve"> remaining 4 working-streams are </w:t>
      </w:r>
      <w:r w:rsidR="00A64AEA">
        <w:rPr>
          <w:rFonts w:ascii="Arial" w:hAnsi="Arial"/>
          <w:sz w:val="24"/>
        </w:rPr>
        <w:t>contemplating principles suitable for their respective settings</w:t>
      </w:r>
      <w:r w:rsidR="00184E7B">
        <w:rPr>
          <w:rFonts w:ascii="Arial" w:hAnsi="Arial"/>
          <w:sz w:val="24"/>
        </w:rPr>
        <w:t xml:space="preserve">. It is conceivable that by the end of this government term, there will be staffing principles in place for each of the 5 nurse settings as a preparatory step towards extension of the Act. </w:t>
      </w:r>
    </w:p>
    <w:p w:rsidR="00B07ACA" w:rsidRDefault="00B07ACA" w:rsidP="00951503">
      <w:pPr>
        <w:rPr>
          <w:rFonts w:ascii="Arial" w:hAnsi="Arial"/>
          <w:sz w:val="24"/>
        </w:rPr>
      </w:pPr>
    </w:p>
    <w:p w:rsidR="002E2B84" w:rsidRDefault="002E2B84" w:rsidP="002E2B84">
      <w:pPr>
        <w:autoSpaceDE w:val="0"/>
        <w:autoSpaceDN w:val="0"/>
        <w:adjustRightInd w:val="0"/>
        <w:rPr>
          <w:rFonts w:ascii="Arial" w:hAnsi="Arial"/>
          <w:sz w:val="24"/>
        </w:rPr>
      </w:pPr>
      <w:r w:rsidRPr="00942ECC">
        <w:rPr>
          <w:rFonts w:ascii="Arial" w:hAnsi="Arial"/>
          <w:sz w:val="24"/>
        </w:rPr>
        <w:t xml:space="preserve">Section 25A of the Act came into force in April 2017 and sets out </w:t>
      </w:r>
      <w:r>
        <w:rPr>
          <w:rFonts w:ascii="Arial" w:hAnsi="Arial"/>
          <w:sz w:val="24"/>
        </w:rPr>
        <w:t>the overarching responsibility</w:t>
      </w:r>
      <w:r w:rsidRPr="00942ECC">
        <w:rPr>
          <w:rFonts w:ascii="Arial" w:hAnsi="Arial"/>
          <w:sz w:val="24"/>
        </w:rPr>
        <w:t xml:space="preserve"> for health boards </w:t>
      </w:r>
      <w:r w:rsidR="00F52223">
        <w:rPr>
          <w:rFonts w:ascii="Arial" w:hAnsi="Arial"/>
          <w:sz w:val="24"/>
        </w:rPr>
        <w:t xml:space="preserve">and trusts </w:t>
      </w:r>
      <w:r w:rsidRPr="00942ECC">
        <w:rPr>
          <w:rFonts w:ascii="Arial" w:hAnsi="Arial"/>
          <w:sz w:val="24"/>
        </w:rPr>
        <w:t>to ensure there are sufficient nurses t</w:t>
      </w:r>
      <w:r w:rsidR="006C7271">
        <w:rPr>
          <w:rFonts w:ascii="Arial" w:hAnsi="Arial"/>
          <w:sz w:val="24"/>
        </w:rPr>
        <w:t xml:space="preserve">o care for patients sensitively, </w:t>
      </w:r>
      <w:r w:rsidR="00F52223">
        <w:rPr>
          <w:rFonts w:ascii="Arial" w:hAnsi="Arial"/>
          <w:sz w:val="24"/>
        </w:rPr>
        <w:t>and NHS Wales is</w:t>
      </w:r>
      <w:r w:rsidRPr="00942ECC">
        <w:rPr>
          <w:rFonts w:ascii="Arial" w:hAnsi="Arial"/>
          <w:sz w:val="24"/>
        </w:rPr>
        <w:t xml:space="preserve"> committed to meeting this duty.</w:t>
      </w:r>
      <w:r>
        <w:rPr>
          <w:rFonts w:ascii="Arial" w:hAnsi="Arial"/>
          <w:sz w:val="24"/>
        </w:rPr>
        <w:t xml:space="preserve"> </w:t>
      </w:r>
      <w:r w:rsidR="006C7271">
        <w:rPr>
          <w:rFonts w:ascii="Arial" w:hAnsi="Arial"/>
          <w:sz w:val="24"/>
        </w:rPr>
        <w:t>The duty applies to all settings where nursing care is provided or commissioned in Wales</w:t>
      </w:r>
      <w:r w:rsidR="00A63B78">
        <w:rPr>
          <w:rFonts w:ascii="Arial" w:hAnsi="Arial"/>
          <w:sz w:val="24"/>
        </w:rPr>
        <w:t xml:space="preserve">. </w:t>
      </w:r>
    </w:p>
    <w:p w:rsidR="002E2B84" w:rsidRDefault="002E2B84" w:rsidP="00951503">
      <w:pPr>
        <w:rPr>
          <w:rFonts w:ascii="Arial" w:hAnsi="Arial"/>
          <w:sz w:val="24"/>
        </w:rPr>
      </w:pPr>
    </w:p>
    <w:p w:rsidR="00951503" w:rsidRDefault="00951503" w:rsidP="00951503">
      <w:pPr>
        <w:rPr>
          <w:rFonts w:ascii="Arial" w:hAnsi="Arial"/>
          <w:sz w:val="24"/>
        </w:rPr>
      </w:pPr>
      <w:r>
        <w:rPr>
          <w:rFonts w:ascii="Arial" w:hAnsi="Arial"/>
          <w:sz w:val="24"/>
        </w:rPr>
        <w:t>As outlined in section 25E of the Act, the first NHS report o</w:t>
      </w:r>
      <w:r w:rsidR="00A63B78">
        <w:rPr>
          <w:rFonts w:ascii="Arial" w:hAnsi="Arial"/>
          <w:sz w:val="24"/>
        </w:rPr>
        <w:t>n compliance with the Act to</w:t>
      </w:r>
      <w:r>
        <w:rPr>
          <w:rFonts w:ascii="Arial" w:hAnsi="Arial"/>
          <w:sz w:val="24"/>
        </w:rPr>
        <w:t xml:space="preserve"> </w:t>
      </w:r>
      <w:r w:rsidR="00833E4E">
        <w:rPr>
          <w:rFonts w:ascii="Arial" w:hAnsi="Arial"/>
          <w:sz w:val="24"/>
        </w:rPr>
        <w:t>Welsh Ministers</w:t>
      </w:r>
      <w:r>
        <w:rPr>
          <w:rFonts w:ascii="Arial" w:hAnsi="Arial"/>
          <w:sz w:val="24"/>
        </w:rPr>
        <w:t xml:space="preserve"> will be submitted </w:t>
      </w:r>
      <w:r w:rsidR="00A63B78">
        <w:rPr>
          <w:rFonts w:ascii="Arial" w:hAnsi="Arial"/>
          <w:sz w:val="24"/>
        </w:rPr>
        <w:t xml:space="preserve">in April 2021, </w:t>
      </w:r>
      <w:r w:rsidR="00FC36FA">
        <w:rPr>
          <w:rFonts w:ascii="Arial" w:hAnsi="Arial"/>
          <w:sz w:val="24"/>
        </w:rPr>
        <w:t>three</w:t>
      </w:r>
      <w:r>
        <w:rPr>
          <w:rFonts w:ascii="Arial" w:hAnsi="Arial"/>
          <w:sz w:val="24"/>
        </w:rPr>
        <w:t xml:space="preserve"> years after the implementation of </w:t>
      </w:r>
      <w:r w:rsidR="00A63B78">
        <w:rPr>
          <w:rFonts w:ascii="Arial" w:hAnsi="Arial"/>
          <w:sz w:val="24"/>
        </w:rPr>
        <w:t xml:space="preserve">the </w:t>
      </w:r>
      <w:r w:rsidR="00A63B78">
        <w:rPr>
          <w:rFonts w:ascii="Arial" w:hAnsi="Arial"/>
          <w:sz w:val="24"/>
        </w:rPr>
        <w:lastRenderedPageBreak/>
        <w:t>second duty</w:t>
      </w:r>
      <w:r w:rsidR="00833E4E">
        <w:rPr>
          <w:rFonts w:ascii="Arial" w:hAnsi="Arial"/>
          <w:sz w:val="24"/>
        </w:rPr>
        <w:t xml:space="preserve">. </w:t>
      </w:r>
      <w:r w:rsidR="00A63B78">
        <w:rPr>
          <w:rFonts w:ascii="Arial" w:hAnsi="Arial"/>
          <w:sz w:val="24"/>
        </w:rPr>
        <w:t xml:space="preserve">This report will then be submitted to the National Assembly early in its sixth term. </w:t>
      </w:r>
    </w:p>
    <w:p w:rsidR="00551CB1" w:rsidRDefault="00551CB1">
      <w:pPr>
        <w:rPr>
          <w:rFonts w:ascii="Arial" w:hAnsi="Arial" w:cs="Arial"/>
          <w:sz w:val="24"/>
        </w:rPr>
      </w:pPr>
    </w:p>
    <w:sectPr w:rsidR="00551CB1" w:rsidSect="00AE325A">
      <w:footerReference w:type="even" r:id="rId9"/>
      <w:footerReference w:type="default" r:id="rId10"/>
      <w:headerReference w:type="first" r:id="rId11"/>
      <w:footerReference w:type="first" r:id="rId12"/>
      <w:pgSz w:w="11906" w:h="16838" w:code="9"/>
      <w:pgMar w:top="567"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F0" w:rsidRDefault="00400BF0">
      <w:r>
        <w:separator/>
      </w:r>
    </w:p>
  </w:endnote>
  <w:endnote w:type="continuationSeparator" w:id="0">
    <w:p w:rsidR="00400BF0" w:rsidRDefault="0040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33" w:rsidRDefault="0011283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12833" w:rsidRDefault="00112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33" w:rsidRPr="00485293" w:rsidRDefault="00112833" w:rsidP="008F0CC6">
    <w:pPr>
      <w:pStyle w:val="Footer"/>
      <w:framePr w:wrap="around" w:vAnchor="text" w:hAnchor="margin" w:xAlign="center" w:y="1"/>
      <w:rPr>
        <w:rStyle w:val="PageNumber"/>
        <w:rFonts w:ascii="Arial" w:hAnsi="Arial" w:cs="Arial"/>
      </w:rPr>
    </w:pPr>
    <w:r w:rsidRPr="00485293">
      <w:rPr>
        <w:rStyle w:val="PageNumber"/>
        <w:rFonts w:ascii="Arial" w:hAnsi="Arial" w:cs="Arial"/>
      </w:rPr>
      <w:fldChar w:fldCharType="begin"/>
    </w:r>
    <w:r w:rsidRPr="00485293">
      <w:rPr>
        <w:rStyle w:val="PageNumber"/>
        <w:rFonts w:ascii="Arial" w:hAnsi="Arial" w:cs="Arial"/>
      </w:rPr>
      <w:instrText xml:space="preserve">PAGE  </w:instrText>
    </w:r>
    <w:r w:rsidRPr="00485293">
      <w:rPr>
        <w:rStyle w:val="PageNumber"/>
        <w:rFonts w:ascii="Arial" w:hAnsi="Arial" w:cs="Arial"/>
      </w:rPr>
      <w:fldChar w:fldCharType="separate"/>
    </w:r>
    <w:r w:rsidR="008C7C57">
      <w:rPr>
        <w:rStyle w:val="PageNumber"/>
        <w:rFonts w:ascii="Arial" w:hAnsi="Arial" w:cs="Arial"/>
        <w:noProof/>
      </w:rPr>
      <w:t>2</w:t>
    </w:r>
    <w:r w:rsidRPr="00485293">
      <w:rPr>
        <w:rStyle w:val="PageNumber"/>
        <w:rFonts w:ascii="Arial" w:hAnsi="Arial" w:cs="Arial"/>
      </w:rPr>
      <w:fldChar w:fldCharType="end"/>
    </w:r>
  </w:p>
  <w:p w:rsidR="00112833" w:rsidRDefault="00112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33" w:rsidRPr="005D2A41" w:rsidRDefault="0011283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C7C57">
      <w:rPr>
        <w:rStyle w:val="PageNumber"/>
        <w:rFonts w:ascii="Arial" w:hAnsi="Arial" w:cs="Arial"/>
        <w:noProof/>
        <w:sz w:val="24"/>
        <w:szCs w:val="24"/>
      </w:rPr>
      <w:t>1</w:t>
    </w:r>
    <w:r w:rsidRPr="005D2A41">
      <w:rPr>
        <w:rStyle w:val="PageNumber"/>
        <w:rFonts w:ascii="Arial" w:hAnsi="Arial" w:cs="Arial"/>
        <w:sz w:val="24"/>
        <w:szCs w:val="24"/>
      </w:rPr>
      <w:fldChar w:fldCharType="end"/>
    </w:r>
  </w:p>
  <w:p w:rsidR="00112833" w:rsidRPr="00A845A9" w:rsidRDefault="00112833"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F0" w:rsidRDefault="00400BF0">
      <w:r>
        <w:separator/>
      </w:r>
    </w:p>
  </w:footnote>
  <w:footnote w:type="continuationSeparator" w:id="0">
    <w:p w:rsidR="00400BF0" w:rsidRDefault="0040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33" w:rsidRDefault="008C7C57">
    <w:r>
      <w:rPr>
        <w:noProof/>
        <w:lang w:eastAsia="en-GB"/>
      </w:rPr>
      <w:drawing>
        <wp:anchor distT="0" distB="0" distL="114300" distR="114300" simplePos="0" relativeHeight="251657728" behindDoc="1" locked="0" layoutInCell="1" allowOverlap="1">
          <wp:simplePos x="0" y="0"/>
          <wp:positionH relativeFrom="column">
            <wp:posOffset>4977765</wp:posOffset>
          </wp:positionH>
          <wp:positionV relativeFrom="paragraph">
            <wp:posOffset>-243205</wp:posOffset>
          </wp:positionV>
          <wp:extent cx="1296670" cy="1229995"/>
          <wp:effectExtent l="0" t="0" r="0" b="825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1229995"/>
                  </a:xfrm>
                  <a:prstGeom prst="rect">
                    <a:avLst/>
                  </a:prstGeom>
                  <a:noFill/>
                </pic:spPr>
              </pic:pic>
            </a:graphicData>
          </a:graphic>
          <wp14:sizeRelH relativeFrom="page">
            <wp14:pctWidth>0</wp14:pctWidth>
          </wp14:sizeRelH>
          <wp14:sizeRelV relativeFrom="page">
            <wp14:pctHeight>0</wp14:pctHeight>
          </wp14:sizeRelV>
        </wp:anchor>
      </w:drawing>
    </w:r>
  </w:p>
  <w:p w:rsidR="00112833" w:rsidRDefault="00112833">
    <w:pPr>
      <w:pStyle w:val="Header"/>
    </w:pPr>
  </w:p>
  <w:p w:rsidR="00112833" w:rsidRDefault="00112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8A7"/>
    <w:multiLevelType w:val="hybridMultilevel"/>
    <w:tmpl w:val="C3C2827C"/>
    <w:lvl w:ilvl="0" w:tplc="8E34EC7E">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D51A9B"/>
    <w:multiLevelType w:val="hybridMultilevel"/>
    <w:tmpl w:val="66B8198A"/>
    <w:lvl w:ilvl="0" w:tplc="B52619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A40619"/>
    <w:multiLevelType w:val="hybridMultilevel"/>
    <w:tmpl w:val="1ACEB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DAA1731"/>
    <w:multiLevelType w:val="hybridMultilevel"/>
    <w:tmpl w:val="442A7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70C01C6"/>
    <w:multiLevelType w:val="hybridMultilevel"/>
    <w:tmpl w:val="934E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A2954"/>
    <w:multiLevelType w:val="hybridMultilevel"/>
    <w:tmpl w:val="6BC85F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44CB"/>
    <w:rsid w:val="00090C3D"/>
    <w:rsid w:val="00097118"/>
    <w:rsid w:val="000B5A02"/>
    <w:rsid w:val="000C3A52"/>
    <w:rsid w:val="000C53DB"/>
    <w:rsid w:val="000C6E34"/>
    <w:rsid w:val="000D0A84"/>
    <w:rsid w:val="000E295E"/>
    <w:rsid w:val="000F5D99"/>
    <w:rsid w:val="000F6C05"/>
    <w:rsid w:val="001030E2"/>
    <w:rsid w:val="00112833"/>
    <w:rsid w:val="00115E21"/>
    <w:rsid w:val="00134918"/>
    <w:rsid w:val="001460B1"/>
    <w:rsid w:val="0017102C"/>
    <w:rsid w:val="00184E7B"/>
    <w:rsid w:val="0019124E"/>
    <w:rsid w:val="001A39E2"/>
    <w:rsid w:val="001B027C"/>
    <w:rsid w:val="001B288D"/>
    <w:rsid w:val="001C532F"/>
    <w:rsid w:val="00223E62"/>
    <w:rsid w:val="00261284"/>
    <w:rsid w:val="00275FFB"/>
    <w:rsid w:val="002811A9"/>
    <w:rsid w:val="002A5310"/>
    <w:rsid w:val="002B1158"/>
    <w:rsid w:val="002C57B6"/>
    <w:rsid w:val="002E0269"/>
    <w:rsid w:val="002E2B84"/>
    <w:rsid w:val="002F0EB9"/>
    <w:rsid w:val="002F53A9"/>
    <w:rsid w:val="00314E36"/>
    <w:rsid w:val="00321353"/>
    <w:rsid w:val="003220C1"/>
    <w:rsid w:val="00323E76"/>
    <w:rsid w:val="003435A3"/>
    <w:rsid w:val="003553C7"/>
    <w:rsid w:val="00356D7B"/>
    <w:rsid w:val="00357893"/>
    <w:rsid w:val="0036365D"/>
    <w:rsid w:val="0036668F"/>
    <w:rsid w:val="00370471"/>
    <w:rsid w:val="003B0C36"/>
    <w:rsid w:val="003B1503"/>
    <w:rsid w:val="003B3D64"/>
    <w:rsid w:val="003B47CF"/>
    <w:rsid w:val="003C2E86"/>
    <w:rsid w:val="003C5133"/>
    <w:rsid w:val="00400BF0"/>
    <w:rsid w:val="0040521B"/>
    <w:rsid w:val="004105AB"/>
    <w:rsid w:val="00420C9A"/>
    <w:rsid w:val="00421E97"/>
    <w:rsid w:val="0043031D"/>
    <w:rsid w:val="0044167F"/>
    <w:rsid w:val="00447141"/>
    <w:rsid w:val="0046170C"/>
    <w:rsid w:val="004654B6"/>
    <w:rsid w:val="0046757C"/>
    <w:rsid w:val="00480246"/>
    <w:rsid w:val="00485293"/>
    <w:rsid w:val="00494625"/>
    <w:rsid w:val="004B0863"/>
    <w:rsid w:val="004B392F"/>
    <w:rsid w:val="004B56C5"/>
    <w:rsid w:val="004C6003"/>
    <w:rsid w:val="004E6BA7"/>
    <w:rsid w:val="00500DFC"/>
    <w:rsid w:val="0050615F"/>
    <w:rsid w:val="00510A7C"/>
    <w:rsid w:val="00517CAB"/>
    <w:rsid w:val="00551CB1"/>
    <w:rsid w:val="00557B93"/>
    <w:rsid w:val="00561B3A"/>
    <w:rsid w:val="00574BB3"/>
    <w:rsid w:val="00586431"/>
    <w:rsid w:val="005A22E2"/>
    <w:rsid w:val="005B030B"/>
    <w:rsid w:val="005D2A41"/>
    <w:rsid w:val="005D7663"/>
    <w:rsid w:val="005E3F39"/>
    <w:rsid w:val="005F4BF1"/>
    <w:rsid w:val="006174D2"/>
    <w:rsid w:val="00654C0A"/>
    <w:rsid w:val="006633C7"/>
    <w:rsid w:val="00663F04"/>
    <w:rsid w:val="00677499"/>
    <w:rsid w:val="006814BD"/>
    <w:rsid w:val="0069133F"/>
    <w:rsid w:val="00692297"/>
    <w:rsid w:val="0069479B"/>
    <w:rsid w:val="006B340E"/>
    <w:rsid w:val="006B461D"/>
    <w:rsid w:val="006C7271"/>
    <w:rsid w:val="006D3BAD"/>
    <w:rsid w:val="006D72FF"/>
    <w:rsid w:val="006E0A2C"/>
    <w:rsid w:val="006E565F"/>
    <w:rsid w:val="006E56B9"/>
    <w:rsid w:val="006F2AF3"/>
    <w:rsid w:val="00703993"/>
    <w:rsid w:val="0073380E"/>
    <w:rsid w:val="00743B79"/>
    <w:rsid w:val="00750A43"/>
    <w:rsid w:val="007523BC"/>
    <w:rsid w:val="00752C48"/>
    <w:rsid w:val="00756E6E"/>
    <w:rsid w:val="0076297B"/>
    <w:rsid w:val="007652D0"/>
    <w:rsid w:val="00783E0D"/>
    <w:rsid w:val="00792237"/>
    <w:rsid w:val="007A05FB"/>
    <w:rsid w:val="007A2D0E"/>
    <w:rsid w:val="007A7F30"/>
    <w:rsid w:val="007B14E6"/>
    <w:rsid w:val="007B5260"/>
    <w:rsid w:val="007C24E7"/>
    <w:rsid w:val="007D1402"/>
    <w:rsid w:val="007E675E"/>
    <w:rsid w:val="007F5E64"/>
    <w:rsid w:val="00800FA0"/>
    <w:rsid w:val="00812370"/>
    <w:rsid w:val="00817745"/>
    <w:rsid w:val="0082411A"/>
    <w:rsid w:val="00833E4E"/>
    <w:rsid w:val="008348C0"/>
    <w:rsid w:val="00841628"/>
    <w:rsid w:val="00846160"/>
    <w:rsid w:val="008605F6"/>
    <w:rsid w:val="00870862"/>
    <w:rsid w:val="00877BD2"/>
    <w:rsid w:val="00886459"/>
    <w:rsid w:val="00886675"/>
    <w:rsid w:val="008A2C38"/>
    <w:rsid w:val="008B7927"/>
    <w:rsid w:val="008C7C57"/>
    <w:rsid w:val="008D1E0B"/>
    <w:rsid w:val="008F0543"/>
    <w:rsid w:val="008F0CC6"/>
    <w:rsid w:val="008F789E"/>
    <w:rsid w:val="00942ECC"/>
    <w:rsid w:val="00951503"/>
    <w:rsid w:val="0095397F"/>
    <w:rsid w:val="00953A46"/>
    <w:rsid w:val="0096019E"/>
    <w:rsid w:val="00967473"/>
    <w:rsid w:val="00973090"/>
    <w:rsid w:val="0097766E"/>
    <w:rsid w:val="009817E3"/>
    <w:rsid w:val="00982676"/>
    <w:rsid w:val="00995EEC"/>
    <w:rsid w:val="009E4974"/>
    <w:rsid w:val="009F06C3"/>
    <w:rsid w:val="00A04A05"/>
    <w:rsid w:val="00A204C9"/>
    <w:rsid w:val="00A2199D"/>
    <w:rsid w:val="00A23742"/>
    <w:rsid w:val="00A3247B"/>
    <w:rsid w:val="00A411D3"/>
    <w:rsid w:val="00A52A0C"/>
    <w:rsid w:val="00A54813"/>
    <w:rsid w:val="00A63B78"/>
    <w:rsid w:val="00A64AEA"/>
    <w:rsid w:val="00A72CF3"/>
    <w:rsid w:val="00A845A9"/>
    <w:rsid w:val="00A86958"/>
    <w:rsid w:val="00AA362E"/>
    <w:rsid w:val="00AA5651"/>
    <w:rsid w:val="00AA5848"/>
    <w:rsid w:val="00AA7750"/>
    <w:rsid w:val="00AC0A49"/>
    <w:rsid w:val="00AD2C11"/>
    <w:rsid w:val="00AE064D"/>
    <w:rsid w:val="00AE325A"/>
    <w:rsid w:val="00AF056B"/>
    <w:rsid w:val="00B07ACA"/>
    <w:rsid w:val="00B15CC5"/>
    <w:rsid w:val="00B20666"/>
    <w:rsid w:val="00B239BA"/>
    <w:rsid w:val="00B256EC"/>
    <w:rsid w:val="00B3463C"/>
    <w:rsid w:val="00B468BB"/>
    <w:rsid w:val="00B532CC"/>
    <w:rsid w:val="00B63B7A"/>
    <w:rsid w:val="00B70D8B"/>
    <w:rsid w:val="00B81F17"/>
    <w:rsid w:val="00B865A1"/>
    <w:rsid w:val="00BA2581"/>
    <w:rsid w:val="00BA3F4B"/>
    <w:rsid w:val="00BA3FBE"/>
    <w:rsid w:val="00BB5EAB"/>
    <w:rsid w:val="00BF2373"/>
    <w:rsid w:val="00C40A23"/>
    <w:rsid w:val="00C43B4A"/>
    <w:rsid w:val="00C64FA5"/>
    <w:rsid w:val="00C70C84"/>
    <w:rsid w:val="00C75152"/>
    <w:rsid w:val="00C84A12"/>
    <w:rsid w:val="00C95881"/>
    <w:rsid w:val="00CB0517"/>
    <w:rsid w:val="00CE22F0"/>
    <w:rsid w:val="00CF3DC5"/>
    <w:rsid w:val="00D017E2"/>
    <w:rsid w:val="00D168D7"/>
    <w:rsid w:val="00D16D97"/>
    <w:rsid w:val="00D2007D"/>
    <w:rsid w:val="00D27F42"/>
    <w:rsid w:val="00D40624"/>
    <w:rsid w:val="00D478CC"/>
    <w:rsid w:val="00D61FC5"/>
    <w:rsid w:val="00D902D1"/>
    <w:rsid w:val="00DB2342"/>
    <w:rsid w:val="00DB3CA0"/>
    <w:rsid w:val="00DC1408"/>
    <w:rsid w:val="00DD4B82"/>
    <w:rsid w:val="00DD6D8C"/>
    <w:rsid w:val="00DF25A5"/>
    <w:rsid w:val="00E07E44"/>
    <w:rsid w:val="00E1556F"/>
    <w:rsid w:val="00E26C5F"/>
    <w:rsid w:val="00E3419E"/>
    <w:rsid w:val="00E405EA"/>
    <w:rsid w:val="00E47B1A"/>
    <w:rsid w:val="00E555A9"/>
    <w:rsid w:val="00E631B1"/>
    <w:rsid w:val="00E80348"/>
    <w:rsid w:val="00E84F53"/>
    <w:rsid w:val="00EA078F"/>
    <w:rsid w:val="00EB248F"/>
    <w:rsid w:val="00EB5F93"/>
    <w:rsid w:val="00EC0568"/>
    <w:rsid w:val="00EC45C4"/>
    <w:rsid w:val="00EE721A"/>
    <w:rsid w:val="00EF5304"/>
    <w:rsid w:val="00F0272E"/>
    <w:rsid w:val="00F2438B"/>
    <w:rsid w:val="00F27EE1"/>
    <w:rsid w:val="00F47F3A"/>
    <w:rsid w:val="00F52223"/>
    <w:rsid w:val="00F55697"/>
    <w:rsid w:val="00F6445B"/>
    <w:rsid w:val="00F70A8F"/>
    <w:rsid w:val="00F81C33"/>
    <w:rsid w:val="00F97613"/>
    <w:rsid w:val="00FB1653"/>
    <w:rsid w:val="00FC36FA"/>
    <w:rsid w:val="00FD45E9"/>
    <w:rsid w:val="00FD651D"/>
    <w:rsid w:val="00FD7A6D"/>
    <w:rsid w:val="00FF0966"/>
    <w:rsid w:val="00FF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FootnoteText">
    <w:name w:val="footnote text"/>
    <w:basedOn w:val="Normal"/>
    <w:link w:val="FootnoteTextChar"/>
    <w:uiPriority w:val="99"/>
    <w:rsid w:val="00B70D8B"/>
    <w:rPr>
      <w:rFonts w:ascii="Arial" w:hAnsi="Arial"/>
      <w:sz w:val="20"/>
      <w:lang w:eastAsia="en-GB"/>
    </w:rPr>
  </w:style>
  <w:style w:type="character" w:customStyle="1" w:styleId="FootnoteTextChar">
    <w:name w:val="Footnote Text Char"/>
    <w:link w:val="FootnoteText"/>
    <w:uiPriority w:val="99"/>
    <w:rsid w:val="00B70D8B"/>
    <w:rPr>
      <w:rFonts w:ascii="Arial" w:hAnsi="Arial"/>
    </w:rPr>
  </w:style>
  <w:style w:type="character" w:styleId="FootnoteReference">
    <w:name w:val="footnote reference"/>
    <w:uiPriority w:val="99"/>
    <w:rsid w:val="00B70D8B"/>
    <w:rPr>
      <w:vertAlign w:val="superscript"/>
    </w:rPr>
  </w:style>
  <w:style w:type="paragraph" w:styleId="ListParagraph">
    <w:name w:val="List Paragraph"/>
    <w:basedOn w:val="Normal"/>
    <w:uiPriority w:val="34"/>
    <w:qFormat/>
    <w:rsid w:val="00783E0D"/>
    <w:pPr>
      <w:ind w:left="720"/>
    </w:pPr>
    <w:rPr>
      <w:rFonts w:ascii="Arial" w:hAnsi="Arial"/>
      <w:sz w:val="24"/>
      <w:lang w:eastAsia="en-GB"/>
    </w:rPr>
  </w:style>
  <w:style w:type="paragraph" w:styleId="BalloonText">
    <w:name w:val="Balloon Text"/>
    <w:basedOn w:val="Normal"/>
    <w:link w:val="BalloonTextChar"/>
    <w:rsid w:val="006E56B9"/>
    <w:rPr>
      <w:rFonts w:ascii="Tahoma" w:hAnsi="Tahoma" w:cs="Tahoma"/>
      <w:sz w:val="16"/>
      <w:szCs w:val="16"/>
    </w:rPr>
  </w:style>
  <w:style w:type="character" w:customStyle="1" w:styleId="BalloonTextChar">
    <w:name w:val="Balloon Text Char"/>
    <w:link w:val="BalloonText"/>
    <w:rsid w:val="006E56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FootnoteText">
    <w:name w:val="footnote text"/>
    <w:basedOn w:val="Normal"/>
    <w:link w:val="FootnoteTextChar"/>
    <w:uiPriority w:val="99"/>
    <w:rsid w:val="00B70D8B"/>
    <w:rPr>
      <w:rFonts w:ascii="Arial" w:hAnsi="Arial"/>
      <w:sz w:val="20"/>
      <w:lang w:eastAsia="en-GB"/>
    </w:rPr>
  </w:style>
  <w:style w:type="character" w:customStyle="1" w:styleId="FootnoteTextChar">
    <w:name w:val="Footnote Text Char"/>
    <w:link w:val="FootnoteText"/>
    <w:uiPriority w:val="99"/>
    <w:rsid w:val="00B70D8B"/>
    <w:rPr>
      <w:rFonts w:ascii="Arial" w:hAnsi="Arial"/>
    </w:rPr>
  </w:style>
  <w:style w:type="character" w:styleId="FootnoteReference">
    <w:name w:val="footnote reference"/>
    <w:uiPriority w:val="99"/>
    <w:rsid w:val="00B70D8B"/>
    <w:rPr>
      <w:vertAlign w:val="superscript"/>
    </w:rPr>
  </w:style>
  <w:style w:type="paragraph" w:styleId="ListParagraph">
    <w:name w:val="List Paragraph"/>
    <w:basedOn w:val="Normal"/>
    <w:uiPriority w:val="34"/>
    <w:qFormat/>
    <w:rsid w:val="00783E0D"/>
    <w:pPr>
      <w:ind w:left="720"/>
    </w:pPr>
    <w:rPr>
      <w:rFonts w:ascii="Arial" w:hAnsi="Arial"/>
      <w:sz w:val="24"/>
      <w:lang w:eastAsia="en-GB"/>
    </w:rPr>
  </w:style>
  <w:style w:type="paragraph" w:styleId="BalloonText">
    <w:name w:val="Balloon Text"/>
    <w:basedOn w:val="Normal"/>
    <w:link w:val="BalloonTextChar"/>
    <w:rsid w:val="006E56B9"/>
    <w:rPr>
      <w:rFonts w:ascii="Tahoma" w:hAnsi="Tahoma" w:cs="Tahoma"/>
      <w:sz w:val="16"/>
      <w:szCs w:val="16"/>
    </w:rPr>
  </w:style>
  <w:style w:type="character" w:customStyle="1" w:styleId="BalloonTextChar">
    <w:name w:val="Balloon Text Char"/>
    <w:link w:val="BalloonText"/>
    <w:rsid w:val="006E5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1061">
      <w:bodyDiv w:val="1"/>
      <w:marLeft w:val="0"/>
      <w:marRight w:val="0"/>
      <w:marTop w:val="0"/>
      <w:marBottom w:val="0"/>
      <w:divBdr>
        <w:top w:val="none" w:sz="0" w:space="0" w:color="auto"/>
        <w:left w:val="none" w:sz="0" w:space="0" w:color="auto"/>
        <w:bottom w:val="none" w:sz="0" w:space="0" w:color="auto"/>
        <w:right w:val="none" w:sz="0" w:space="0" w:color="auto"/>
      </w:divBdr>
    </w:div>
    <w:div w:id="844436881">
      <w:bodyDiv w:val="1"/>
      <w:marLeft w:val="0"/>
      <w:marRight w:val="0"/>
      <w:marTop w:val="0"/>
      <w:marBottom w:val="0"/>
      <w:divBdr>
        <w:top w:val="none" w:sz="0" w:space="0" w:color="auto"/>
        <w:left w:val="none" w:sz="0" w:space="0" w:color="auto"/>
        <w:bottom w:val="none" w:sz="0" w:space="0" w:color="auto"/>
        <w:right w:val="none" w:sz="0" w:space="0" w:color="auto"/>
      </w:divBdr>
      <w:divsChild>
        <w:div w:id="1607692123">
          <w:marLeft w:val="0"/>
          <w:marRight w:val="0"/>
          <w:marTop w:val="0"/>
          <w:marBottom w:val="0"/>
          <w:divBdr>
            <w:top w:val="none" w:sz="0" w:space="0" w:color="auto"/>
            <w:left w:val="none" w:sz="0" w:space="0" w:color="auto"/>
            <w:bottom w:val="none" w:sz="0" w:space="0" w:color="auto"/>
            <w:right w:val="none" w:sz="0" w:space="0" w:color="auto"/>
          </w:divBdr>
          <w:divsChild>
            <w:div w:id="46342022">
              <w:marLeft w:val="0"/>
              <w:marRight w:val="0"/>
              <w:marTop w:val="0"/>
              <w:marBottom w:val="0"/>
              <w:divBdr>
                <w:top w:val="none" w:sz="0" w:space="0" w:color="auto"/>
                <w:left w:val="none" w:sz="0" w:space="0" w:color="auto"/>
                <w:bottom w:val="none" w:sz="0" w:space="0" w:color="auto"/>
                <w:right w:val="none" w:sz="0" w:space="0" w:color="auto"/>
              </w:divBdr>
              <w:divsChild>
                <w:div w:id="1023285176">
                  <w:marLeft w:val="0"/>
                  <w:marRight w:val="0"/>
                  <w:marTop w:val="0"/>
                  <w:marBottom w:val="0"/>
                  <w:divBdr>
                    <w:top w:val="none" w:sz="0" w:space="0" w:color="auto"/>
                    <w:left w:val="none" w:sz="0" w:space="0" w:color="auto"/>
                    <w:bottom w:val="none" w:sz="0" w:space="0" w:color="auto"/>
                    <w:right w:val="none" w:sz="0" w:space="0" w:color="auto"/>
                  </w:divBdr>
                  <w:divsChild>
                    <w:div w:id="1422490521">
                      <w:marLeft w:val="0"/>
                      <w:marRight w:val="0"/>
                      <w:marTop w:val="0"/>
                      <w:marBottom w:val="0"/>
                      <w:divBdr>
                        <w:top w:val="none" w:sz="0" w:space="0" w:color="auto"/>
                        <w:left w:val="none" w:sz="0" w:space="0" w:color="auto"/>
                        <w:bottom w:val="none" w:sz="0" w:space="0" w:color="auto"/>
                        <w:right w:val="none" w:sz="0" w:space="0" w:color="auto"/>
                      </w:divBdr>
                      <w:divsChild>
                        <w:div w:id="242027826">
                          <w:marLeft w:val="675"/>
                          <w:marRight w:val="675"/>
                          <w:marTop w:val="0"/>
                          <w:marBottom w:val="0"/>
                          <w:divBdr>
                            <w:top w:val="none" w:sz="0" w:space="0" w:color="auto"/>
                            <w:left w:val="none" w:sz="0" w:space="0" w:color="auto"/>
                            <w:bottom w:val="none" w:sz="0" w:space="0" w:color="auto"/>
                            <w:right w:val="none" w:sz="0" w:space="0" w:color="auto"/>
                          </w:divBdr>
                          <w:divsChild>
                            <w:div w:id="1153713097">
                              <w:marLeft w:val="0"/>
                              <w:marRight w:val="0"/>
                              <w:marTop w:val="0"/>
                              <w:marBottom w:val="0"/>
                              <w:divBdr>
                                <w:top w:val="none" w:sz="0" w:space="0" w:color="auto"/>
                                <w:left w:val="none" w:sz="0" w:space="0" w:color="auto"/>
                                <w:bottom w:val="none" w:sz="0" w:space="0" w:color="auto"/>
                                <w:right w:val="none" w:sz="0" w:space="0" w:color="auto"/>
                              </w:divBdr>
                              <w:divsChild>
                                <w:div w:id="327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527799">
      <w:bodyDiv w:val="1"/>
      <w:marLeft w:val="0"/>
      <w:marRight w:val="0"/>
      <w:marTop w:val="0"/>
      <w:marBottom w:val="0"/>
      <w:divBdr>
        <w:top w:val="none" w:sz="0" w:space="0" w:color="auto"/>
        <w:left w:val="none" w:sz="0" w:space="0" w:color="auto"/>
        <w:bottom w:val="none" w:sz="0" w:space="0" w:color="auto"/>
        <w:right w:val="none" w:sz="0" w:space="0" w:color="auto"/>
      </w:divBdr>
      <w:divsChild>
        <w:div w:id="1083455313">
          <w:marLeft w:val="0"/>
          <w:marRight w:val="0"/>
          <w:marTop w:val="0"/>
          <w:marBottom w:val="0"/>
          <w:divBdr>
            <w:top w:val="none" w:sz="0" w:space="0" w:color="auto"/>
            <w:left w:val="none" w:sz="0" w:space="0" w:color="auto"/>
            <w:bottom w:val="none" w:sz="0" w:space="0" w:color="auto"/>
            <w:right w:val="none" w:sz="0" w:space="0" w:color="auto"/>
          </w:divBdr>
          <w:divsChild>
            <w:div w:id="1248610474">
              <w:marLeft w:val="0"/>
              <w:marRight w:val="0"/>
              <w:marTop w:val="0"/>
              <w:marBottom w:val="0"/>
              <w:divBdr>
                <w:top w:val="none" w:sz="0" w:space="0" w:color="auto"/>
                <w:left w:val="none" w:sz="0" w:space="0" w:color="auto"/>
                <w:bottom w:val="none" w:sz="0" w:space="0" w:color="auto"/>
                <w:right w:val="none" w:sz="0" w:space="0" w:color="auto"/>
              </w:divBdr>
              <w:divsChild>
                <w:div w:id="219437828">
                  <w:marLeft w:val="0"/>
                  <w:marRight w:val="0"/>
                  <w:marTop w:val="0"/>
                  <w:marBottom w:val="0"/>
                  <w:divBdr>
                    <w:top w:val="none" w:sz="0" w:space="0" w:color="auto"/>
                    <w:left w:val="none" w:sz="0" w:space="0" w:color="auto"/>
                    <w:bottom w:val="none" w:sz="0" w:space="0" w:color="auto"/>
                    <w:right w:val="none" w:sz="0" w:space="0" w:color="auto"/>
                  </w:divBdr>
                  <w:divsChild>
                    <w:div w:id="1483816551">
                      <w:marLeft w:val="0"/>
                      <w:marRight w:val="0"/>
                      <w:marTop w:val="0"/>
                      <w:marBottom w:val="0"/>
                      <w:divBdr>
                        <w:top w:val="single" w:sz="6" w:space="0" w:color="CCCCCC"/>
                        <w:left w:val="single" w:sz="6" w:space="0" w:color="CCCCCC"/>
                        <w:bottom w:val="single" w:sz="6" w:space="0" w:color="CCCCCC"/>
                        <w:right w:val="single" w:sz="6" w:space="0" w:color="CCCCCC"/>
                      </w:divBdr>
                      <w:divsChild>
                        <w:div w:id="1847548826">
                          <w:marLeft w:val="0"/>
                          <w:marRight w:val="0"/>
                          <w:marTop w:val="300"/>
                          <w:marBottom w:val="300"/>
                          <w:divBdr>
                            <w:top w:val="none" w:sz="0" w:space="0" w:color="auto"/>
                            <w:left w:val="none" w:sz="0" w:space="0" w:color="auto"/>
                            <w:bottom w:val="none" w:sz="0" w:space="0" w:color="auto"/>
                            <w:right w:val="none" w:sz="0" w:space="0" w:color="auto"/>
                          </w:divBdr>
                          <w:divsChild>
                            <w:div w:id="1509322025">
                              <w:marLeft w:val="0"/>
                              <w:marRight w:val="0"/>
                              <w:marTop w:val="0"/>
                              <w:marBottom w:val="0"/>
                              <w:divBdr>
                                <w:top w:val="none" w:sz="0" w:space="0" w:color="auto"/>
                                <w:left w:val="none" w:sz="0" w:space="0" w:color="auto"/>
                                <w:bottom w:val="none" w:sz="0" w:space="0" w:color="auto"/>
                                <w:right w:val="none" w:sz="0" w:space="0" w:color="auto"/>
                              </w:divBdr>
                              <w:divsChild>
                                <w:div w:id="363361344">
                                  <w:marLeft w:val="0"/>
                                  <w:marRight w:val="0"/>
                                  <w:marTop w:val="210"/>
                                  <w:marBottom w:val="0"/>
                                  <w:divBdr>
                                    <w:top w:val="none" w:sz="0" w:space="0" w:color="auto"/>
                                    <w:left w:val="none" w:sz="0" w:space="0" w:color="auto"/>
                                    <w:bottom w:val="none" w:sz="0" w:space="0" w:color="auto"/>
                                    <w:right w:val="none" w:sz="0" w:space="0" w:color="auto"/>
                                  </w:divBdr>
                                  <w:divsChild>
                                    <w:div w:id="1683891196">
                                      <w:marLeft w:val="0"/>
                                      <w:marRight w:val="0"/>
                                      <w:marTop w:val="0"/>
                                      <w:marBottom w:val="0"/>
                                      <w:divBdr>
                                        <w:top w:val="none" w:sz="0" w:space="0" w:color="auto"/>
                                        <w:left w:val="none" w:sz="0" w:space="0" w:color="auto"/>
                                        <w:bottom w:val="none" w:sz="0" w:space="0" w:color="auto"/>
                                        <w:right w:val="none" w:sz="0" w:space="0" w:color="auto"/>
                                      </w:divBdr>
                                      <w:divsChild>
                                        <w:div w:id="419258047">
                                          <w:marLeft w:val="0"/>
                                          <w:marRight w:val="0"/>
                                          <w:marTop w:val="0"/>
                                          <w:marBottom w:val="375"/>
                                          <w:divBdr>
                                            <w:top w:val="none" w:sz="0" w:space="0" w:color="auto"/>
                                            <w:left w:val="none" w:sz="0" w:space="0" w:color="auto"/>
                                            <w:bottom w:val="single" w:sz="6" w:space="11" w:color="CCCCCC"/>
                                            <w:right w:val="none" w:sz="0" w:space="0" w:color="auto"/>
                                          </w:divBdr>
                                          <w:divsChild>
                                            <w:div w:id="209266901">
                                              <w:blockQuote w:val="1"/>
                                              <w:marLeft w:val="0"/>
                                              <w:marRight w:val="0"/>
                                              <w:marTop w:val="300"/>
                                              <w:marBottom w:val="300"/>
                                              <w:divBdr>
                                                <w:top w:val="none" w:sz="0" w:space="0" w:color="auto"/>
                                                <w:left w:val="single" w:sz="24" w:space="8" w:color="EEEEEE"/>
                                                <w:bottom w:val="none" w:sz="0" w:space="0" w:color="auto"/>
                                                <w:right w:val="none" w:sz="0" w:space="0" w:color="auto"/>
                                              </w:divBdr>
                                            </w:div>
                                          </w:divsChild>
                                        </w:div>
                                      </w:divsChild>
                                    </w:div>
                                  </w:divsChild>
                                </w:div>
                              </w:divsChild>
                            </w:div>
                          </w:divsChild>
                        </w:div>
                      </w:divsChild>
                    </w:div>
                  </w:divsChild>
                </w:div>
              </w:divsChild>
            </w:div>
          </w:divsChild>
        </w:div>
      </w:divsChild>
    </w:div>
    <w:div w:id="1333416867">
      <w:bodyDiv w:val="1"/>
      <w:marLeft w:val="0"/>
      <w:marRight w:val="0"/>
      <w:marTop w:val="0"/>
      <w:marBottom w:val="0"/>
      <w:divBdr>
        <w:top w:val="none" w:sz="0" w:space="0" w:color="auto"/>
        <w:left w:val="none" w:sz="0" w:space="0" w:color="auto"/>
        <w:bottom w:val="none" w:sz="0" w:space="0" w:color="auto"/>
        <w:right w:val="none" w:sz="0" w:space="0" w:color="auto"/>
      </w:divBdr>
    </w:div>
    <w:div w:id="14961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2018-06-06T23:00:00+00:00</Meeting_x0020_Date>
    <Assembly xmlns="a4e7e3ba-90a1-4b0a-844f-73b076486bd6">5</Assembly>
  </documentManagement>
</p:properties>
</file>

<file path=customXml/itemProps1.xml><?xml version="1.0" encoding="utf-8"?>
<ds:datastoreItem xmlns:ds="http://schemas.openxmlformats.org/officeDocument/2006/customXml" ds:itemID="{A561ADA6-8A93-45BA-B361-40F8E1D604A0}">
  <ds:schemaRefs>
    <ds:schemaRef ds:uri="http://schemas.openxmlformats.org/officeDocument/2006/bibliography"/>
  </ds:schemaRefs>
</ds:datastoreItem>
</file>

<file path=customXml/itemProps2.xml><?xml version="1.0" encoding="utf-8"?>
<ds:datastoreItem xmlns:ds="http://schemas.openxmlformats.org/officeDocument/2006/customXml" ds:itemID="{92806670-60F3-47AF-AD7F-78409BBE4F73}"/>
</file>

<file path=customXml/itemProps3.xml><?xml version="1.0" encoding="utf-8"?>
<ds:datastoreItem xmlns:ds="http://schemas.openxmlformats.org/officeDocument/2006/customXml" ds:itemID="{E76A1D19-8A2E-4086-88CC-7447D62B01D0}"/>
</file>

<file path=customXml/itemProps4.xml><?xml version="1.0" encoding="utf-8"?>
<ds:datastoreItem xmlns:ds="http://schemas.openxmlformats.org/officeDocument/2006/customXml" ds:itemID="{484F00F6-2EF7-4C72-A039-3B1ED451DDB1}"/>
</file>

<file path=docProps/app.xml><?xml version="1.0" encoding="utf-8"?>
<Properties xmlns="http://schemas.openxmlformats.org/officeDocument/2006/extended-properties" xmlns:vt="http://schemas.openxmlformats.org/officeDocument/2006/docPropsVTypes">
  <Template>153B1090</Template>
  <TotalTime>2</TotalTime>
  <Pages>3</Pages>
  <Words>957</Words>
  <Characters>5457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 </vt:lpstr>
    </vt:vector>
  </TitlesOfParts>
  <Company>COI Communications</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extension of the Nurse Staffing Levels (Wales) Act 2016</dc:title>
  <dc:creator>burnsc</dc:creator>
  <cp:lastModifiedBy>Oxenham, James (OFMCO - Cabinet Division)</cp:lastModifiedBy>
  <cp:revision>2</cp:revision>
  <cp:lastPrinted>2014-07-10T12:26:00Z</cp:lastPrinted>
  <dcterms:created xsi:type="dcterms:W3CDTF">2018-06-06T12:11:00Z</dcterms:created>
  <dcterms:modified xsi:type="dcterms:W3CDTF">2018-06-06T12:11:00Z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A22309007</vt:lpwstr>
  </property>
  <property fmtid="{D5CDD505-2E9C-101B-9397-08002B2CF9AE}" pid="4" name="Objective-Title">
    <vt:lpwstr>MA - L/VG/0281/18 - Doc 2 - Written Statement</vt:lpwstr>
  </property>
  <property fmtid="{D5CDD505-2E9C-101B-9397-08002B2CF9AE}" pid="5" name="Objective-Comment">
    <vt:lpwstr/>
  </property>
  <property fmtid="{D5CDD505-2E9C-101B-9397-08002B2CF9AE}" pid="6" name="Objective-CreationStamp">
    <vt:filetime>2018-05-09T14:33:04Z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2018-06-06T10:24:16Z</vt:filetime>
  </property>
  <property fmtid="{D5CDD505-2E9C-101B-9397-08002B2CF9AE}" pid="10" name="Objective-ModificationStamp">
    <vt:filetime>2018-06-06T10:24:16Z</vt:filetime>
  </property>
  <property fmtid="{D5CDD505-2E9C-101B-9397-08002B2CF9AE}" pid="11" name="Objective-Owner">
    <vt:lpwstr>Williams, Hywel (HSS - Office of the Chief Nursing Officer)</vt:lpwstr>
  </property>
  <property fmtid="{D5CDD505-2E9C-101B-9397-08002B2CF9AE}" pid="12" name="Objective-Path">
    <vt:lpwstr>Objective Global Folder:Business File Plan:Health &amp; Social Services (HSS):Health &amp; Social Services (HSS) - Nursing Directorate:1 - Save:Ministerial Business:2018 Cabinet Secretary for Health and Social Services - Vaughan Gething:Vaughan Gething - Cabinet </vt:lpwstr>
  </property>
  <property fmtid="{D5CDD505-2E9C-101B-9397-08002B2CF9AE}" pid="13" name="Objective-Parent">
    <vt:lpwstr>MA - L/VG/0281/18 - Written Statement on extension of the Nurse Staffing Level (Wales) Act</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2014-06-09T23:00:00Z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