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A356" w14:textId="77777777" w:rsidR="001A39E2" w:rsidRDefault="001A39E2" w:rsidP="001A39E2">
      <w:pPr>
        <w:jc w:val="right"/>
        <w:rPr>
          <w:b/>
        </w:rPr>
      </w:pPr>
    </w:p>
    <w:p w14:paraId="5F82D5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3032BB" wp14:editId="2016FB9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CD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93490D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A573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51B4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75BC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CBF7B0C" wp14:editId="48E03A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716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2E4E1C" w14:textId="77777777" w:rsidTr="00B049B1">
        <w:tc>
          <w:tcPr>
            <w:tcW w:w="1383" w:type="dxa"/>
            <w:tcBorders>
              <w:top w:val="nil"/>
              <w:left w:val="nil"/>
              <w:bottom w:val="nil"/>
              <w:right w:val="nil"/>
            </w:tcBorders>
            <w:vAlign w:val="center"/>
          </w:tcPr>
          <w:p w14:paraId="1ABD252F" w14:textId="77777777" w:rsidR="00EA5290" w:rsidRDefault="00EA5290" w:rsidP="00B049B1">
            <w:pPr>
              <w:spacing w:before="120" w:after="120"/>
              <w:rPr>
                <w:rFonts w:ascii="Arial" w:hAnsi="Arial" w:cs="Arial"/>
                <w:b/>
                <w:bCs/>
                <w:sz w:val="24"/>
                <w:szCs w:val="24"/>
              </w:rPr>
            </w:pPr>
          </w:p>
          <w:p w14:paraId="65482E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415CD5C" w14:textId="77777777" w:rsidR="00385FAD" w:rsidRDefault="00385FAD" w:rsidP="00A2520D">
            <w:pPr>
              <w:rPr>
                <w:rFonts w:ascii="Arial" w:hAnsi="Arial" w:cs="Arial"/>
                <w:b/>
                <w:sz w:val="24"/>
                <w:szCs w:val="24"/>
              </w:rPr>
            </w:pPr>
          </w:p>
          <w:p w14:paraId="7D695D54" w14:textId="0CA654F4" w:rsidR="00EA5290" w:rsidRPr="00A2520D" w:rsidRDefault="00C43ABD" w:rsidP="00A2520D">
            <w:pPr>
              <w:rPr>
                <w:rFonts w:ascii="Arial" w:hAnsi="Arial" w:cs="Arial"/>
                <w:b/>
                <w:sz w:val="24"/>
                <w:szCs w:val="24"/>
              </w:rPr>
            </w:pPr>
            <w:bookmarkStart w:id="0" w:name="_GoBack"/>
            <w:r w:rsidRPr="00BE5015">
              <w:rPr>
                <w:rFonts w:ascii="Arial" w:hAnsi="Arial" w:cs="Arial"/>
                <w:b/>
                <w:sz w:val="24"/>
                <w:szCs w:val="24"/>
              </w:rPr>
              <w:t>The</w:t>
            </w:r>
            <w:r>
              <w:rPr>
                <w:rFonts w:ascii="Arial" w:hAnsi="Arial" w:cs="Arial"/>
                <w:b/>
                <w:sz w:val="24"/>
                <w:szCs w:val="24"/>
              </w:rPr>
              <w:t xml:space="preserve"> </w:t>
            </w:r>
            <w:r w:rsidRPr="00981F8A">
              <w:rPr>
                <w:rFonts w:ascii="Arial" w:hAnsi="Arial" w:cs="Arial"/>
                <w:b/>
                <w:sz w:val="24"/>
                <w:szCs w:val="24"/>
              </w:rPr>
              <w:t>Pesticides (Amendment)</w:t>
            </w:r>
            <w:r>
              <w:t xml:space="preserve"> </w:t>
            </w:r>
            <w:r w:rsidRPr="00BE5015">
              <w:rPr>
                <w:rFonts w:ascii="Arial" w:hAnsi="Arial" w:cs="Arial"/>
                <w:b/>
                <w:kern w:val="28"/>
                <w:sz w:val="24"/>
                <w:szCs w:val="24"/>
              </w:rPr>
              <w:t>(EU Exit) Regulations 2019</w:t>
            </w:r>
            <w:bookmarkEnd w:id="0"/>
          </w:p>
        </w:tc>
      </w:tr>
      <w:tr w:rsidR="00EA5290" w:rsidRPr="00A011A1" w14:paraId="15773A8C" w14:textId="77777777" w:rsidTr="00B049B1">
        <w:tc>
          <w:tcPr>
            <w:tcW w:w="1383" w:type="dxa"/>
            <w:tcBorders>
              <w:top w:val="nil"/>
              <w:left w:val="nil"/>
              <w:bottom w:val="nil"/>
              <w:right w:val="nil"/>
            </w:tcBorders>
            <w:vAlign w:val="center"/>
          </w:tcPr>
          <w:p w14:paraId="617765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8D580A" w14:textId="5C8E7C59" w:rsidR="00EA5290" w:rsidRPr="00670227" w:rsidRDefault="00A2520D" w:rsidP="00A72EA7">
            <w:pPr>
              <w:spacing w:before="120" w:after="120"/>
              <w:rPr>
                <w:rFonts w:ascii="Arial" w:hAnsi="Arial" w:cs="Arial"/>
                <w:b/>
                <w:bCs/>
                <w:sz w:val="24"/>
                <w:szCs w:val="24"/>
              </w:rPr>
            </w:pPr>
            <w:r>
              <w:rPr>
                <w:rFonts w:ascii="Arial" w:hAnsi="Arial" w:cs="Arial"/>
                <w:b/>
                <w:bCs/>
                <w:sz w:val="24"/>
                <w:szCs w:val="24"/>
              </w:rPr>
              <w:t>24</w:t>
            </w:r>
            <w:r w:rsidR="00A72EA7">
              <w:rPr>
                <w:rFonts w:ascii="Arial" w:hAnsi="Arial" w:cs="Arial"/>
                <w:b/>
                <w:bCs/>
                <w:sz w:val="24"/>
                <w:szCs w:val="24"/>
              </w:rPr>
              <w:t xml:space="preserve"> June 2019</w:t>
            </w:r>
          </w:p>
        </w:tc>
      </w:tr>
      <w:tr w:rsidR="00EA5290" w:rsidRPr="00A011A1" w14:paraId="5AAB7CEA" w14:textId="77777777" w:rsidTr="00B049B1">
        <w:tc>
          <w:tcPr>
            <w:tcW w:w="1383" w:type="dxa"/>
            <w:tcBorders>
              <w:top w:val="nil"/>
              <w:left w:val="nil"/>
              <w:bottom w:val="nil"/>
              <w:right w:val="nil"/>
            </w:tcBorders>
            <w:vAlign w:val="center"/>
          </w:tcPr>
          <w:p w14:paraId="1A0DC8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DC64756"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FE41291" w14:textId="4F128E16" w:rsidR="00A72EA7" w:rsidRDefault="00A72EA7" w:rsidP="00A72EA7">
      <w:pPr>
        <w:rPr>
          <w:rFonts w:ascii="Arial" w:hAnsi="Arial" w:cs="Arial"/>
          <w:b/>
          <w:sz w:val="24"/>
          <w:szCs w:val="24"/>
        </w:rPr>
      </w:pPr>
    </w:p>
    <w:p w14:paraId="50CE4710" w14:textId="72ADECE1" w:rsidR="00C43ABD" w:rsidRDefault="00C43ABD" w:rsidP="00385FAD">
      <w:pPr>
        <w:rPr>
          <w:rFonts w:ascii="Arial" w:hAnsi="Arial" w:cs="Arial"/>
          <w:b/>
          <w:kern w:val="28"/>
          <w:sz w:val="24"/>
          <w:szCs w:val="24"/>
        </w:rPr>
      </w:pPr>
      <w:r w:rsidRPr="00385FAD">
        <w:rPr>
          <w:rFonts w:ascii="Arial" w:hAnsi="Arial" w:cs="Arial"/>
          <w:b/>
          <w:sz w:val="24"/>
          <w:szCs w:val="24"/>
        </w:rPr>
        <w:t>The Pesticides (Amendment)</w:t>
      </w:r>
      <w:r w:rsidRPr="00385FAD">
        <w:rPr>
          <w:rFonts w:ascii="Arial" w:hAnsi="Arial" w:cs="Arial"/>
          <w:sz w:val="24"/>
          <w:szCs w:val="24"/>
        </w:rPr>
        <w:t xml:space="preserve"> </w:t>
      </w:r>
      <w:r w:rsidRPr="00385FAD">
        <w:rPr>
          <w:rFonts w:ascii="Arial" w:hAnsi="Arial" w:cs="Arial"/>
          <w:b/>
          <w:kern w:val="28"/>
          <w:sz w:val="24"/>
          <w:szCs w:val="24"/>
        </w:rPr>
        <w:t>(EU Exit) Regulations 2019</w:t>
      </w:r>
    </w:p>
    <w:p w14:paraId="156572AB" w14:textId="77777777" w:rsidR="00385FAD" w:rsidRPr="00385FAD" w:rsidRDefault="00385FAD" w:rsidP="00385FAD">
      <w:pPr>
        <w:rPr>
          <w:rFonts w:ascii="Arial" w:hAnsi="Arial" w:cs="Arial"/>
          <w:b/>
          <w:sz w:val="24"/>
          <w:szCs w:val="24"/>
        </w:rPr>
      </w:pPr>
    </w:p>
    <w:p w14:paraId="14890E8D" w14:textId="77777777" w:rsidR="00C43ABD" w:rsidRPr="00385FAD" w:rsidRDefault="00C43ABD" w:rsidP="00385FAD">
      <w:pPr>
        <w:rPr>
          <w:rFonts w:ascii="Arial" w:hAnsi="Arial" w:cs="Arial"/>
          <w:b/>
          <w:sz w:val="24"/>
          <w:szCs w:val="24"/>
        </w:rPr>
      </w:pPr>
      <w:r w:rsidRPr="00385FAD">
        <w:rPr>
          <w:rFonts w:ascii="Arial" w:hAnsi="Arial" w:cs="Arial"/>
          <w:b/>
          <w:sz w:val="24"/>
          <w:szCs w:val="24"/>
        </w:rPr>
        <w:t>The Law which is being amended</w:t>
      </w:r>
    </w:p>
    <w:p w14:paraId="68FFF39D" w14:textId="77777777" w:rsidR="00C43ABD" w:rsidRPr="00385FAD" w:rsidRDefault="00C43ABD" w:rsidP="00385FAD">
      <w:pPr>
        <w:pStyle w:val="ListParagraph"/>
        <w:numPr>
          <w:ilvl w:val="0"/>
          <w:numId w:val="6"/>
        </w:numPr>
        <w:ind w:left="426" w:hanging="426"/>
        <w:contextualSpacing/>
        <w:rPr>
          <w:rFonts w:ascii="Arial" w:hAnsi="Arial" w:cs="Arial"/>
          <w:sz w:val="24"/>
          <w:szCs w:val="24"/>
        </w:rPr>
      </w:pPr>
      <w:r w:rsidRPr="00385FAD">
        <w:rPr>
          <w:rFonts w:ascii="Arial" w:hAnsi="Arial" w:cs="Arial"/>
          <w:sz w:val="24"/>
          <w:szCs w:val="24"/>
        </w:rPr>
        <w:t>The Plant Protection Products (Sustainable Use) Regulations 2012</w:t>
      </w:r>
    </w:p>
    <w:p w14:paraId="308AF13A" w14:textId="46E5A7C3" w:rsidR="00C43ABD" w:rsidRPr="00385FAD" w:rsidRDefault="00C43ABD" w:rsidP="00385FAD">
      <w:pPr>
        <w:pStyle w:val="ListParagraph"/>
        <w:numPr>
          <w:ilvl w:val="0"/>
          <w:numId w:val="4"/>
        </w:numPr>
        <w:ind w:left="426" w:hanging="426"/>
        <w:contextualSpacing/>
        <w:rPr>
          <w:rFonts w:ascii="Arial" w:hAnsi="Arial" w:cs="Arial"/>
          <w:kern w:val="28"/>
          <w:sz w:val="24"/>
          <w:szCs w:val="24"/>
        </w:rPr>
      </w:pPr>
      <w:r w:rsidRPr="00385FAD">
        <w:rPr>
          <w:rFonts w:ascii="Arial" w:hAnsi="Arial" w:cs="Arial"/>
          <w:sz w:val="24"/>
          <w:szCs w:val="24"/>
        </w:rPr>
        <w:t xml:space="preserve">Plant Protection Products (Miscellaneous Amendments) (EU Exit) Regulations 2019 </w:t>
      </w:r>
      <w:r w:rsidRPr="00385FAD">
        <w:rPr>
          <w:rFonts w:ascii="Arial" w:hAnsi="Arial" w:cs="Arial"/>
          <w:sz w:val="24"/>
          <w:szCs w:val="24"/>
        </w:rPr>
        <w:br/>
      </w:r>
      <w:r w:rsidRPr="00385FAD">
        <w:rPr>
          <w:rFonts w:ascii="Arial" w:hAnsi="Arial" w:cs="Arial"/>
          <w:sz w:val="24"/>
          <w:szCs w:val="24"/>
        </w:rPr>
        <w:tab/>
        <w:t xml:space="preserve">Pesticides (Maximum Residue Levels) (Amendment etc.) (EU Exit) Regulations 2019 </w:t>
      </w:r>
    </w:p>
    <w:p w14:paraId="22D6CA97" w14:textId="77777777" w:rsidR="00C43ABD" w:rsidRPr="00385FAD" w:rsidRDefault="00C43ABD" w:rsidP="00385FAD">
      <w:pPr>
        <w:pStyle w:val="ListParagraph"/>
        <w:numPr>
          <w:ilvl w:val="0"/>
          <w:numId w:val="5"/>
        </w:numPr>
        <w:ind w:left="426" w:hanging="426"/>
        <w:contextualSpacing/>
        <w:rPr>
          <w:rFonts w:ascii="Arial" w:hAnsi="Arial" w:cs="Arial"/>
          <w:sz w:val="24"/>
          <w:szCs w:val="24"/>
        </w:rPr>
      </w:pPr>
      <w:r w:rsidRPr="00385FAD">
        <w:rPr>
          <w:rFonts w:ascii="Arial" w:hAnsi="Arial" w:cs="Arial"/>
          <w:sz w:val="24"/>
          <w:szCs w:val="24"/>
        </w:rPr>
        <w:t>Regulation (EC) 1107/2009 concerning the placing of plant protection products on the market</w:t>
      </w:r>
    </w:p>
    <w:p w14:paraId="59250CF0" w14:textId="77777777" w:rsidR="00C43ABD" w:rsidRPr="00385FAD" w:rsidRDefault="00C43ABD" w:rsidP="00385FAD">
      <w:pPr>
        <w:pStyle w:val="ListParagraph"/>
        <w:numPr>
          <w:ilvl w:val="0"/>
          <w:numId w:val="5"/>
        </w:numPr>
        <w:ind w:left="426" w:hanging="426"/>
        <w:contextualSpacing/>
        <w:rPr>
          <w:rFonts w:ascii="Arial" w:hAnsi="Arial" w:cs="Arial"/>
          <w:sz w:val="24"/>
          <w:szCs w:val="24"/>
        </w:rPr>
      </w:pPr>
      <w:r w:rsidRPr="00385FAD">
        <w:rPr>
          <w:rFonts w:ascii="Arial" w:hAnsi="Arial" w:cs="Arial"/>
          <w:sz w:val="24"/>
          <w:szCs w:val="24"/>
        </w:rPr>
        <w:t>Regulation (EU) No 844/2012 regarding the implementation of the renewal procedure for active substances</w:t>
      </w:r>
    </w:p>
    <w:p w14:paraId="088B42A8" w14:textId="77777777" w:rsidR="00C43ABD" w:rsidRPr="00385FAD" w:rsidRDefault="00C43ABD" w:rsidP="00385FAD">
      <w:pPr>
        <w:pStyle w:val="ListParagraph"/>
        <w:numPr>
          <w:ilvl w:val="0"/>
          <w:numId w:val="5"/>
        </w:numPr>
        <w:ind w:left="426" w:hanging="426"/>
        <w:contextualSpacing/>
        <w:rPr>
          <w:rFonts w:ascii="Arial" w:hAnsi="Arial" w:cs="Arial"/>
          <w:sz w:val="24"/>
          <w:szCs w:val="24"/>
        </w:rPr>
      </w:pPr>
      <w:r w:rsidRPr="00385FAD">
        <w:rPr>
          <w:rFonts w:ascii="Arial" w:hAnsi="Arial" w:cs="Arial"/>
          <w:sz w:val="24"/>
          <w:szCs w:val="24"/>
        </w:rPr>
        <w:t>The European Economic Area Agreement.</w:t>
      </w:r>
    </w:p>
    <w:p w14:paraId="6188D70F" w14:textId="77777777" w:rsidR="00C43ABD" w:rsidRPr="00385FAD" w:rsidRDefault="00C43ABD" w:rsidP="00385FAD">
      <w:pPr>
        <w:pStyle w:val="ListParagraph"/>
        <w:ind w:hanging="426"/>
        <w:rPr>
          <w:rFonts w:ascii="Arial" w:hAnsi="Arial" w:cs="Arial"/>
          <w:sz w:val="24"/>
          <w:szCs w:val="24"/>
        </w:rPr>
      </w:pPr>
    </w:p>
    <w:p w14:paraId="59AF44D9" w14:textId="77777777" w:rsidR="00C43ABD" w:rsidRPr="00385FAD" w:rsidRDefault="00C43ABD" w:rsidP="00385FAD">
      <w:pPr>
        <w:pStyle w:val="T1"/>
        <w:spacing w:before="0" w:line="240" w:lineRule="auto"/>
        <w:jc w:val="left"/>
        <w:rPr>
          <w:rFonts w:ascii="Arial" w:hAnsi="Arial" w:cs="Arial"/>
          <w:sz w:val="24"/>
          <w:szCs w:val="24"/>
        </w:rPr>
      </w:pPr>
      <w:r w:rsidRPr="00385FAD">
        <w:rPr>
          <w:rFonts w:ascii="Arial" w:hAnsi="Arial" w:cs="Arial"/>
          <w:b/>
          <w:sz w:val="24"/>
          <w:szCs w:val="24"/>
        </w:rPr>
        <w:t>The Law which is being revoked</w:t>
      </w:r>
    </w:p>
    <w:p w14:paraId="33F10FFA"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No 380/2013 </w:t>
      </w:r>
    </w:p>
    <w:p w14:paraId="41FEA6D0"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Council Regulation (EU) No 518/2013 </w:t>
      </w:r>
    </w:p>
    <w:p w14:paraId="61524DDB"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No 1136/2014 </w:t>
      </w:r>
    </w:p>
    <w:p w14:paraId="2D81B1A9"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2015/1475 </w:t>
      </w:r>
    </w:p>
    <w:p w14:paraId="638977D6"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Implementing Regulation (EU) 2018/155</w:t>
      </w:r>
    </w:p>
    <w:p w14:paraId="2BC7259C"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Regulation (EU) 2018/1515</w:t>
      </w:r>
    </w:p>
    <w:p w14:paraId="11FA957C"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2018/1516 </w:t>
      </w:r>
    </w:p>
    <w:p w14:paraId="55457848"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2019/38 </w:t>
      </w:r>
    </w:p>
    <w:p w14:paraId="652451DF"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2019/58 </w:t>
      </w:r>
    </w:p>
    <w:p w14:paraId="3D65D18C"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2019/89 </w:t>
      </w:r>
    </w:p>
    <w:p w14:paraId="0624B32B"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2019/90 </w:t>
      </w:r>
    </w:p>
    <w:p w14:paraId="48FA1ACA"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Regulation (EU) 2019/91 </w:t>
      </w:r>
    </w:p>
    <w:p w14:paraId="3DE28AA1"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2019/149 </w:t>
      </w:r>
    </w:p>
    <w:p w14:paraId="36ED14C3"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2019/150 </w:t>
      </w:r>
    </w:p>
    <w:p w14:paraId="40424140"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Implementing Regulation (EU) 2019/151</w:t>
      </w:r>
    </w:p>
    <w:p w14:paraId="48CE07DF"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Implementing Regulation (EU) 2019/158</w:t>
      </w:r>
    </w:p>
    <w:p w14:paraId="2310C4C3"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2019/168 </w:t>
      </w:r>
    </w:p>
    <w:p w14:paraId="55594302"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lastRenderedPageBreak/>
        <w:t>Commission Implementing Regulation (EU) 2019/291</w:t>
      </w:r>
    </w:p>
    <w:p w14:paraId="5C6C7938"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2019/324 </w:t>
      </w:r>
    </w:p>
    <w:p w14:paraId="48733CD9"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2019/337 </w:t>
      </w:r>
    </w:p>
    <w:p w14:paraId="07F23311"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Implementing Regulation (EU) 2019/344</w:t>
      </w:r>
    </w:p>
    <w:p w14:paraId="719DCBAB"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2019/481 </w:t>
      </w:r>
    </w:p>
    <w:p w14:paraId="4D9B5DAD"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2019/530 </w:t>
      </w:r>
    </w:p>
    <w:p w14:paraId="5C6587BE"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Regulation (EU) 2019/552</w:t>
      </w:r>
    </w:p>
    <w:p w14:paraId="3E157251"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2019/676 </w:t>
      </w:r>
    </w:p>
    <w:p w14:paraId="57CF75A6"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2019/677 </w:t>
      </w:r>
    </w:p>
    <w:p w14:paraId="4CE1548B"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Implementing Regulation (EU) 2019/706</w:t>
      </w:r>
    </w:p>
    <w:p w14:paraId="7B754045"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2019/707 </w:t>
      </w:r>
    </w:p>
    <w:p w14:paraId="5C2F86DC"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 xml:space="preserve">Commission Implementing Regulation (EU) 2019/716 </w:t>
      </w:r>
    </w:p>
    <w:p w14:paraId="26558010" w14:textId="77777777" w:rsidR="00C43ABD" w:rsidRPr="00385FAD" w:rsidRDefault="00C43ABD" w:rsidP="00385FAD">
      <w:pPr>
        <w:pStyle w:val="N1"/>
        <w:numPr>
          <w:ilvl w:val="0"/>
          <w:numId w:val="8"/>
        </w:numPr>
        <w:spacing w:before="0" w:line="240" w:lineRule="auto"/>
        <w:ind w:left="426" w:hanging="426"/>
        <w:jc w:val="left"/>
        <w:rPr>
          <w:rFonts w:ascii="Arial" w:hAnsi="Arial" w:cs="Arial"/>
          <w:sz w:val="24"/>
          <w:szCs w:val="24"/>
        </w:rPr>
      </w:pPr>
      <w:r w:rsidRPr="00385FAD">
        <w:rPr>
          <w:rFonts w:ascii="Arial" w:hAnsi="Arial" w:cs="Arial"/>
          <w:sz w:val="24"/>
          <w:szCs w:val="24"/>
        </w:rPr>
        <w:t>Commission Implementing Regulation (EU) 2019/717</w:t>
      </w:r>
    </w:p>
    <w:p w14:paraId="391EACFF" w14:textId="77777777" w:rsidR="00C43ABD" w:rsidRPr="00385FAD" w:rsidRDefault="00C43ABD" w:rsidP="00385FAD">
      <w:pPr>
        <w:pStyle w:val="T1"/>
        <w:spacing w:before="0" w:line="240" w:lineRule="auto"/>
        <w:jc w:val="left"/>
        <w:rPr>
          <w:rFonts w:ascii="Arial" w:hAnsi="Arial" w:cs="Arial"/>
          <w:sz w:val="24"/>
          <w:szCs w:val="24"/>
          <w:u w:val="single"/>
        </w:rPr>
      </w:pPr>
    </w:p>
    <w:p w14:paraId="68DF7B8A" w14:textId="77777777" w:rsidR="00C43ABD" w:rsidRPr="00385FAD" w:rsidRDefault="00C43ABD" w:rsidP="00385FAD">
      <w:pPr>
        <w:rPr>
          <w:rFonts w:ascii="Arial" w:hAnsi="Arial" w:cs="Arial"/>
          <w:i/>
          <w:sz w:val="24"/>
          <w:szCs w:val="24"/>
        </w:rPr>
      </w:pPr>
      <w:r w:rsidRPr="00385FAD">
        <w:rPr>
          <w:rFonts w:ascii="Arial" w:hAnsi="Arial" w:cs="Arial"/>
          <w:b/>
          <w:sz w:val="24"/>
          <w:szCs w:val="24"/>
        </w:rPr>
        <w:t xml:space="preserve">The purpose of the Regulations </w:t>
      </w:r>
    </w:p>
    <w:p w14:paraId="60935338" w14:textId="77777777" w:rsidR="00C43ABD" w:rsidRPr="00385FAD" w:rsidRDefault="00C43ABD" w:rsidP="00385FAD">
      <w:pPr>
        <w:rPr>
          <w:rFonts w:ascii="Arial" w:hAnsi="Arial" w:cs="Arial"/>
          <w:i/>
          <w:sz w:val="24"/>
          <w:szCs w:val="24"/>
        </w:rPr>
      </w:pPr>
      <w:r w:rsidRPr="00385FAD">
        <w:rPr>
          <w:rFonts w:ascii="Arial" w:eastAsia="Arial" w:hAnsi="Arial" w:cs="Arial"/>
          <w:color w:val="000000" w:themeColor="text1"/>
          <w:sz w:val="24"/>
          <w:szCs w:val="24"/>
          <w:lang w:eastAsia="en-GB"/>
        </w:rPr>
        <w:t xml:space="preserve">The Regulations </w:t>
      </w:r>
      <w:r w:rsidRPr="00385FAD">
        <w:rPr>
          <w:rFonts w:ascii="Arial" w:hAnsi="Arial" w:cs="Arial"/>
          <w:spacing w:val="-1"/>
          <w:sz w:val="24"/>
          <w:szCs w:val="24"/>
        </w:rPr>
        <w:t xml:space="preserve">make a number of amendments </w:t>
      </w:r>
      <w:r w:rsidRPr="00385FAD">
        <w:rPr>
          <w:rFonts w:ascii="Arial" w:hAnsi="Arial" w:cs="Arial"/>
          <w:sz w:val="24"/>
          <w:szCs w:val="24"/>
        </w:rPr>
        <w:t>to the retained direct EU legislation which forms the</w:t>
      </w:r>
      <w:r w:rsidRPr="00385FAD">
        <w:rPr>
          <w:rFonts w:ascii="Arial" w:hAnsi="Arial" w:cs="Arial"/>
          <w:spacing w:val="-1"/>
          <w:sz w:val="24"/>
          <w:szCs w:val="24"/>
        </w:rPr>
        <w:t xml:space="preserve"> plant</w:t>
      </w:r>
      <w:r w:rsidRPr="00385FAD">
        <w:rPr>
          <w:rFonts w:ascii="Arial" w:hAnsi="Arial" w:cs="Arial"/>
          <w:sz w:val="24"/>
          <w:szCs w:val="24"/>
        </w:rPr>
        <w:t xml:space="preserve"> p</w:t>
      </w:r>
      <w:r w:rsidRPr="00385FAD">
        <w:rPr>
          <w:rFonts w:ascii="Arial" w:hAnsi="Arial" w:cs="Arial"/>
          <w:spacing w:val="-1"/>
          <w:sz w:val="24"/>
          <w:szCs w:val="24"/>
        </w:rPr>
        <w:t>rotection</w:t>
      </w:r>
      <w:r w:rsidRPr="00385FAD">
        <w:rPr>
          <w:rFonts w:ascii="Arial" w:hAnsi="Arial" w:cs="Arial"/>
          <w:sz w:val="24"/>
          <w:szCs w:val="24"/>
        </w:rPr>
        <w:t xml:space="preserve"> p</w:t>
      </w:r>
      <w:r w:rsidRPr="00385FAD">
        <w:rPr>
          <w:rFonts w:ascii="Arial" w:hAnsi="Arial" w:cs="Arial"/>
          <w:spacing w:val="-1"/>
          <w:sz w:val="24"/>
          <w:szCs w:val="24"/>
        </w:rPr>
        <w:t>roduct and maximum residue level regulatory</w:t>
      </w:r>
      <w:r w:rsidRPr="00385FAD">
        <w:rPr>
          <w:rFonts w:ascii="Arial" w:hAnsi="Arial" w:cs="Arial"/>
          <w:spacing w:val="-3"/>
          <w:sz w:val="24"/>
          <w:szCs w:val="24"/>
        </w:rPr>
        <w:t xml:space="preserve"> </w:t>
      </w:r>
      <w:r w:rsidRPr="00385FAD">
        <w:rPr>
          <w:rFonts w:ascii="Arial" w:hAnsi="Arial" w:cs="Arial"/>
          <w:spacing w:val="-1"/>
          <w:sz w:val="24"/>
          <w:szCs w:val="24"/>
        </w:rPr>
        <w:t>regimes,</w:t>
      </w:r>
      <w:r w:rsidRPr="00385FAD">
        <w:rPr>
          <w:rFonts w:ascii="Arial" w:hAnsi="Arial" w:cs="Arial"/>
          <w:sz w:val="24"/>
          <w:szCs w:val="24"/>
        </w:rPr>
        <w:t xml:space="preserve"> so </w:t>
      </w:r>
      <w:r w:rsidRPr="00385FAD">
        <w:rPr>
          <w:rFonts w:ascii="Arial" w:hAnsi="Arial" w:cs="Arial"/>
          <w:spacing w:val="-1"/>
          <w:sz w:val="24"/>
          <w:szCs w:val="24"/>
        </w:rPr>
        <w:t>that</w:t>
      </w:r>
      <w:r w:rsidRPr="00385FAD">
        <w:rPr>
          <w:rFonts w:ascii="Arial" w:hAnsi="Arial" w:cs="Arial"/>
          <w:sz w:val="24"/>
          <w:szCs w:val="24"/>
        </w:rPr>
        <w:t xml:space="preserve"> they </w:t>
      </w:r>
      <w:r w:rsidRPr="00385FAD">
        <w:rPr>
          <w:rFonts w:ascii="Arial" w:hAnsi="Arial" w:cs="Arial"/>
          <w:spacing w:val="-1"/>
          <w:sz w:val="24"/>
          <w:szCs w:val="24"/>
        </w:rPr>
        <w:t>can</w:t>
      </w:r>
      <w:r w:rsidRPr="00385FAD">
        <w:rPr>
          <w:rFonts w:ascii="Arial" w:hAnsi="Arial" w:cs="Arial"/>
          <w:sz w:val="24"/>
          <w:szCs w:val="24"/>
        </w:rPr>
        <w:t xml:space="preserve"> </w:t>
      </w:r>
      <w:r w:rsidRPr="00385FAD">
        <w:rPr>
          <w:rFonts w:ascii="Arial" w:hAnsi="Arial" w:cs="Arial"/>
          <w:spacing w:val="-1"/>
          <w:sz w:val="24"/>
          <w:szCs w:val="24"/>
        </w:rPr>
        <w:t xml:space="preserve">continue </w:t>
      </w:r>
      <w:r w:rsidRPr="00385FAD">
        <w:rPr>
          <w:rFonts w:ascii="Arial" w:hAnsi="Arial" w:cs="Arial"/>
          <w:sz w:val="24"/>
          <w:szCs w:val="24"/>
        </w:rPr>
        <w:t xml:space="preserve">to </w:t>
      </w:r>
      <w:r w:rsidRPr="00385FAD">
        <w:rPr>
          <w:rFonts w:ascii="Arial" w:hAnsi="Arial" w:cs="Arial"/>
          <w:spacing w:val="-1"/>
          <w:sz w:val="24"/>
          <w:szCs w:val="24"/>
        </w:rPr>
        <w:t xml:space="preserve">operate </w:t>
      </w:r>
      <w:r w:rsidRPr="00385FAD">
        <w:rPr>
          <w:rFonts w:ascii="Arial" w:hAnsi="Arial" w:cs="Arial"/>
          <w:sz w:val="24"/>
          <w:szCs w:val="24"/>
        </w:rPr>
        <w:t>effectively</w:t>
      </w:r>
      <w:r w:rsidRPr="00385FAD">
        <w:rPr>
          <w:rFonts w:ascii="Arial" w:hAnsi="Arial" w:cs="Arial"/>
          <w:spacing w:val="-5"/>
          <w:sz w:val="24"/>
          <w:szCs w:val="24"/>
        </w:rPr>
        <w:t xml:space="preserve"> </w:t>
      </w:r>
      <w:r w:rsidRPr="00385FAD">
        <w:rPr>
          <w:rFonts w:ascii="Arial" w:hAnsi="Arial" w:cs="Arial"/>
          <w:spacing w:val="-1"/>
          <w:sz w:val="24"/>
          <w:szCs w:val="24"/>
        </w:rPr>
        <w:t xml:space="preserve">after </w:t>
      </w:r>
      <w:r w:rsidRPr="00385FAD">
        <w:rPr>
          <w:rFonts w:ascii="Arial" w:hAnsi="Arial" w:cs="Arial"/>
          <w:sz w:val="24"/>
          <w:szCs w:val="24"/>
        </w:rPr>
        <w:t>the</w:t>
      </w:r>
      <w:r w:rsidRPr="00385FAD">
        <w:rPr>
          <w:rFonts w:ascii="Arial" w:hAnsi="Arial" w:cs="Arial"/>
          <w:spacing w:val="-1"/>
          <w:sz w:val="24"/>
          <w:szCs w:val="24"/>
        </w:rPr>
        <w:t xml:space="preserve"> </w:t>
      </w:r>
      <w:r w:rsidRPr="00385FAD">
        <w:rPr>
          <w:rFonts w:ascii="Arial" w:hAnsi="Arial" w:cs="Arial"/>
          <w:sz w:val="24"/>
          <w:szCs w:val="24"/>
        </w:rPr>
        <w:t xml:space="preserve">United </w:t>
      </w:r>
      <w:r w:rsidRPr="00385FAD">
        <w:rPr>
          <w:rFonts w:ascii="Arial" w:hAnsi="Arial" w:cs="Arial"/>
          <w:spacing w:val="-1"/>
          <w:sz w:val="24"/>
          <w:szCs w:val="24"/>
        </w:rPr>
        <w:t>Kingdom leaves</w:t>
      </w:r>
      <w:r w:rsidRPr="00385FAD">
        <w:rPr>
          <w:rFonts w:ascii="Arial" w:hAnsi="Arial" w:cs="Arial"/>
          <w:spacing w:val="2"/>
          <w:sz w:val="24"/>
          <w:szCs w:val="24"/>
        </w:rPr>
        <w:t xml:space="preserve"> </w:t>
      </w:r>
      <w:r w:rsidRPr="00385FAD">
        <w:rPr>
          <w:rFonts w:ascii="Arial" w:hAnsi="Arial" w:cs="Arial"/>
          <w:sz w:val="24"/>
          <w:szCs w:val="24"/>
        </w:rPr>
        <w:t>the</w:t>
      </w:r>
      <w:r w:rsidRPr="00385FAD">
        <w:rPr>
          <w:rFonts w:ascii="Arial" w:hAnsi="Arial" w:cs="Arial"/>
          <w:spacing w:val="-1"/>
          <w:sz w:val="24"/>
          <w:szCs w:val="24"/>
        </w:rPr>
        <w:t xml:space="preserve"> European</w:t>
      </w:r>
      <w:r w:rsidRPr="00385FAD">
        <w:rPr>
          <w:rFonts w:ascii="Arial" w:hAnsi="Arial" w:cs="Arial"/>
          <w:spacing w:val="2"/>
          <w:sz w:val="24"/>
          <w:szCs w:val="24"/>
        </w:rPr>
        <w:t xml:space="preserve"> </w:t>
      </w:r>
      <w:r w:rsidRPr="00385FAD">
        <w:rPr>
          <w:rFonts w:ascii="Arial" w:hAnsi="Arial" w:cs="Arial"/>
          <w:spacing w:val="-1"/>
          <w:sz w:val="24"/>
          <w:szCs w:val="24"/>
        </w:rPr>
        <w:t xml:space="preserve">Union. </w:t>
      </w:r>
      <w:bookmarkStart w:id="1" w:name="7.7_There_are_a_number_of_legislative_de"/>
      <w:bookmarkEnd w:id="1"/>
      <w:r w:rsidRPr="00385FAD">
        <w:rPr>
          <w:rFonts w:ascii="Arial" w:hAnsi="Arial" w:cs="Arial"/>
          <w:spacing w:val="-1"/>
          <w:sz w:val="24"/>
          <w:szCs w:val="24"/>
        </w:rPr>
        <w:t>Some of the required amendments are as a consequence of the change in “exit day” from 29 March which impacts on various dates specified in the retained law. Further new EU legislation has also come into force during the extension period, which needs to be amended in order to correct deficiencies arising from exiting the European Union.</w:t>
      </w:r>
      <w:r w:rsidRPr="00385FAD">
        <w:rPr>
          <w:rFonts w:ascii="Arial" w:hAnsi="Arial" w:cs="Arial"/>
          <w:spacing w:val="60"/>
          <w:sz w:val="24"/>
          <w:szCs w:val="24"/>
        </w:rPr>
        <w:t xml:space="preserve"> </w:t>
      </w:r>
      <w:r w:rsidRPr="00385FAD">
        <w:rPr>
          <w:rFonts w:ascii="Arial" w:hAnsi="Arial" w:cs="Arial"/>
          <w:sz w:val="24"/>
          <w:szCs w:val="24"/>
        </w:rPr>
        <w:t xml:space="preserve">The Regulations also fix errors in earlier instruments made under section 8(1) of the European Union (Withdrawal) Act 2018. </w:t>
      </w:r>
    </w:p>
    <w:p w14:paraId="0EEC6F60" w14:textId="77777777" w:rsidR="00C43ABD" w:rsidRPr="00385FAD" w:rsidRDefault="00C43ABD" w:rsidP="00385FAD">
      <w:pPr>
        <w:rPr>
          <w:rFonts w:ascii="Arial" w:hAnsi="Arial" w:cs="Arial"/>
          <w:sz w:val="24"/>
          <w:szCs w:val="24"/>
        </w:rPr>
      </w:pPr>
    </w:p>
    <w:p w14:paraId="1F797C29" w14:textId="21E084DB" w:rsidR="00C43ABD" w:rsidRDefault="00C43ABD" w:rsidP="00385FAD">
      <w:pPr>
        <w:rPr>
          <w:rFonts w:ascii="Arial" w:hAnsi="Arial" w:cs="Arial"/>
          <w:sz w:val="24"/>
          <w:szCs w:val="24"/>
        </w:rPr>
      </w:pPr>
      <w:r w:rsidRPr="00385FAD">
        <w:rPr>
          <w:rFonts w:ascii="Arial" w:hAnsi="Arial" w:cs="Arial"/>
          <w:sz w:val="24"/>
          <w:szCs w:val="24"/>
        </w:rPr>
        <w:t xml:space="preserve">The Regulations and accompanying Explanatory Memorandum, setting out the effect of amendments are available here: </w:t>
      </w:r>
      <w:hyperlink r:id="rId8" w:history="1">
        <w:r w:rsidR="00385FAD" w:rsidRPr="004E3E43">
          <w:rPr>
            <w:rStyle w:val="Hyperlink"/>
            <w:rFonts w:ascii="Arial" w:hAnsi="Arial" w:cs="Arial"/>
            <w:sz w:val="24"/>
            <w:szCs w:val="24"/>
          </w:rPr>
          <w:t>https://beta.parliament.uk/work-packages/rld2tI43</w:t>
        </w:r>
      </w:hyperlink>
    </w:p>
    <w:p w14:paraId="129CF2E9" w14:textId="77777777" w:rsidR="00C43ABD" w:rsidRPr="00385FAD" w:rsidRDefault="00C43ABD" w:rsidP="00385FAD">
      <w:pPr>
        <w:rPr>
          <w:rFonts w:ascii="Arial" w:hAnsi="Arial" w:cs="Arial"/>
          <w:sz w:val="24"/>
          <w:szCs w:val="24"/>
        </w:rPr>
      </w:pPr>
    </w:p>
    <w:p w14:paraId="2A1F8919" w14:textId="77777777" w:rsidR="00C43ABD" w:rsidRPr="00385FAD" w:rsidRDefault="00C43ABD" w:rsidP="00385FAD">
      <w:pPr>
        <w:rPr>
          <w:rFonts w:ascii="Arial" w:hAnsi="Arial" w:cs="Arial"/>
          <w:b/>
          <w:sz w:val="24"/>
          <w:szCs w:val="24"/>
        </w:rPr>
      </w:pPr>
      <w:r w:rsidRPr="00385FAD">
        <w:rPr>
          <w:rFonts w:ascii="Arial" w:hAnsi="Arial" w:cs="Arial"/>
          <w:b/>
          <w:sz w:val="24"/>
          <w:szCs w:val="24"/>
        </w:rPr>
        <w:t>Any impact the SI may have on the Welsh Ministers’ executive competence</w:t>
      </w:r>
    </w:p>
    <w:p w14:paraId="16DB3D41" w14:textId="77777777" w:rsidR="00C43ABD" w:rsidRPr="00385FAD" w:rsidRDefault="00C43ABD" w:rsidP="00385FAD">
      <w:pPr>
        <w:rPr>
          <w:rFonts w:ascii="Arial" w:hAnsi="Arial" w:cs="Arial"/>
          <w:b/>
          <w:sz w:val="24"/>
          <w:szCs w:val="24"/>
        </w:rPr>
      </w:pPr>
      <w:r w:rsidRPr="00385FAD">
        <w:rPr>
          <w:rFonts w:ascii="Arial" w:hAnsi="Arial" w:cs="Arial"/>
          <w:sz w:val="24"/>
          <w:szCs w:val="24"/>
        </w:rPr>
        <w:t>The Regulations have no impact on the Welsh Ministers’ executive competence.</w:t>
      </w:r>
    </w:p>
    <w:p w14:paraId="73C9B0CA" w14:textId="77777777" w:rsidR="00C43ABD" w:rsidRPr="00385FAD" w:rsidRDefault="00C43ABD" w:rsidP="00385FAD">
      <w:pPr>
        <w:rPr>
          <w:rFonts w:ascii="Arial" w:hAnsi="Arial" w:cs="Arial"/>
          <w:b/>
          <w:sz w:val="24"/>
          <w:szCs w:val="24"/>
        </w:rPr>
      </w:pPr>
    </w:p>
    <w:p w14:paraId="1B902ED8" w14:textId="77777777" w:rsidR="00C43ABD" w:rsidRPr="00385FAD" w:rsidRDefault="00C43ABD" w:rsidP="00385FAD">
      <w:pPr>
        <w:rPr>
          <w:rFonts w:ascii="Arial" w:hAnsi="Arial" w:cs="Arial"/>
          <w:b/>
          <w:sz w:val="24"/>
          <w:szCs w:val="24"/>
        </w:rPr>
      </w:pPr>
      <w:r w:rsidRPr="00385FAD">
        <w:rPr>
          <w:rFonts w:ascii="Arial" w:hAnsi="Arial" w:cs="Arial"/>
          <w:b/>
          <w:sz w:val="24"/>
          <w:szCs w:val="24"/>
        </w:rPr>
        <w:t>Any impact the SI may have on the legislative competence of the National Assembly for Wales</w:t>
      </w:r>
    </w:p>
    <w:p w14:paraId="0561D8E2" w14:textId="2F762F9E" w:rsidR="00C43ABD" w:rsidRDefault="00C43ABD" w:rsidP="00385FAD">
      <w:pPr>
        <w:rPr>
          <w:rFonts w:ascii="Arial" w:hAnsi="Arial" w:cs="Arial"/>
          <w:sz w:val="24"/>
          <w:szCs w:val="24"/>
        </w:rPr>
      </w:pPr>
      <w:r w:rsidRPr="00385FAD">
        <w:rPr>
          <w:rFonts w:ascii="Arial" w:hAnsi="Arial" w:cs="Arial"/>
          <w:sz w:val="24"/>
          <w:szCs w:val="24"/>
        </w:rPr>
        <w:t>The Regulations have no impact on the National Assembly for Wales’ legislative competence.</w:t>
      </w:r>
    </w:p>
    <w:p w14:paraId="640D821C" w14:textId="77777777" w:rsidR="00385FAD" w:rsidRPr="00385FAD" w:rsidRDefault="00385FAD" w:rsidP="00385FAD">
      <w:pPr>
        <w:rPr>
          <w:rFonts w:ascii="Arial" w:hAnsi="Arial" w:cs="Arial"/>
          <w:sz w:val="24"/>
          <w:szCs w:val="24"/>
        </w:rPr>
      </w:pPr>
    </w:p>
    <w:p w14:paraId="15CA035C" w14:textId="77777777" w:rsidR="00C43ABD" w:rsidRPr="00385FAD" w:rsidRDefault="00C43ABD" w:rsidP="00385FAD">
      <w:pPr>
        <w:rPr>
          <w:rFonts w:ascii="Arial" w:hAnsi="Arial" w:cs="Arial"/>
          <w:b/>
          <w:sz w:val="24"/>
          <w:szCs w:val="24"/>
        </w:rPr>
      </w:pPr>
      <w:r w:rsidRPr="00385FAD">
        <w:rPr>
          <w:rFonts w:ascii="Arial" w:hAnsi="Arial" w:cs="Arial"/>
          <w:b/>
          <w:sz w:val="24"/>
          <w:szCs w:val="24"/>
        </w:rPr>
        <w:t>Why consent was given</w:t>
      </w:r>
    </w:p>
    <w:p w14:paraId="15E1CE31" w14:textId="1B147F9C" w:rsidR="00A2520D" w:rsidRPr="00C43ABD" w:rsidRDefault="00C43ABD" w:rsidP="00A2520D">
      <w:pPr>
        <w:rPr>
          <w:rFonts w:ascii="Arial" w:hAnsi="Arial" w:cs="Arial"/>
          <w:b/>
          <w:sz w:val="24"/>
          <w:szCs w:val="24"/>
        </w:rPr>
      </w:pPr>
      <w:r w:rsidRPr="00385FAD">
        <w:rPr>
          <w:rFonts w:ascii="Arial" w:hAnsi="Arial" w:cs="Arial"/>
          <w:sz w:val="24"/>
          <w:szCs w:val="24"/>
        </w:rPr>
        <w:t>T</w:t>
      </w:r>
      <w:r w:rsidRPr="00385FAD">
        <w:rPr>
          <w:rFonts w:ascii="Arial" w:hAnsi="Arial" w:cs="Arial"/>
          <w:color w:val="0D0D0D" w:themeColor="text1" w:themeTint="F2"/>
          <w:sz w:val="24"/>
          <w:szCs w:val="24"/>
        </w:rPr>
        <w:t xml:space="preserve">he Regulations </w:t>
      </w:r>
      <w:r w:rsidRPr="00385FAD">
        <w:rPr>
          <w:rFonts w:ascii="Arial" w:hAnsi="Arial" w:cs="Arial"/>
          <w:sz w:val="24"/>
          <w:szCs w:val="24"/>
        </w:rPr>
        <w:t xml:space="preserve">make a number of technical changes and supplement provisions on policies which were included in earlier EU exit SIs, ensuring all deficiencies have been fully addressed.  </w:t>
      </w:r>
      <w:r w:rsidRPr="00385FAD">
        <w:rPr>
          <w:rFonts w:ascii="Arial" w:hAnsi="Arial" w:cs="Arial"/>
          <w:noProof/>
          <w:sz w:val="24"/>
          <w:szCs w:val="24"/>
          <w:lang w:eastAsia="en-GB"/>
        </w:rPr>
        <w:t xml:space="preserve"> </w:t>
      </w:r>
    </w:p>
    <w:sectPr w:rsidR="00A2520D" w:rsidRPr="00C43AB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F233" w14:textId="77777777" w:rsidR="000755A9" w:rsidRDefault="000755A9">
      <w:r>
        <w:separator/>
      </w:r>
    </w:p>
  </w:endnote>
  <w:endnote w:type="continuationSeparator" w:id="0">
    <w:p w14:paraId="176CD81E"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41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00E2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032A" w14:textId="2157FE6C"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AD1">
      <w:rPr>
        <w:rStyle w:val="PageNumber"/>
        <w:noProof/>
      </w:rPr>
      <w:t>2</w:t>
    </w:r>
    <w:r>
      <w:rPr>
        <w:rStyle w:val="PageNumber"/>
      </w:rPr>
      <w:fldChar w:fldCharType="end"/>
    </w:r>
  </w:p>
  <w:p w14:paraId="7B41070B"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7813" w14:textId="1806BA0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5AD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C81AB7"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7D52" w14:textId="77777777" w:rsidR="000755A9" w:rsidRDefault="000755A9">
      <w:r>
        <w:separator/>
      </w:r>
    </w:p>
  </w:footnote>
  <w:footnote w:type="continuationSeparator" w:id="0">
    <w:p w14:paraId="0BD229A4"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5711" w14:textId="77777777" w:rsidR="0057543A" w:rsidRDefault="0057543A">
    <w:r>
      <w:rPr>
        <w:noProof/>
        <w:lang w:eastAsia="en-GB"/>
      </w:rPr>
      <w:drawing>
        <wp:anchor distT="0" distB="0" distL="114300" distR="114300" simplePos="0" relativeHeight="251657728" behindDoc="1" locked="0" layoutInCell="1" allowOverlap="1" wp14:anchorId="2E72C7B6" wp14:editId="04645E9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F9E045" w14:textId="77777777" w:rsidR="0057543A" w:rsidRDefault="0057543A">
    <w:pPr>
      <w:pStyle w:val="Header"/>
    </w:pPr>
  </w:p>
  <w:p w14:paraId="6F1DA0A3"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FF5"/>
    <w:multiLevelType w:val="hybridMultilevel"/>
    <w:tmpl w:val="5D72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AAF"/>
    <w:multiLevelType w:val="hybridMultilevel"/>
    <w:tmpl w:val="16B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428FB"/>
    <w:multiLevelType w:val="hybridMultilevel"/>
    <w:tmpl w:val="70F4BB68"/>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31C26"/>
    <w:multiLevelType w:val="hybridMultilevel"/>
    <w:tmpl w:val="BBFEA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B3BA0"/>
    <w:multiLevelType w:val="hybridMultilevel"/>
    <w:tmpl w:val="4FDE75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7D52E7F"/>
    <w:multiLevelType w:val="hybridMultilevel"/>
    <w:tmpl w:val="F13C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1CD"/>
    <w:rsid w:val="002C57B6"/>
    <w:rsid w:val="002F0EB9"/>
    <w:rsid w:val="002F53A9"/>
    <w:rsid w:val="00314E36"/>
    <w:rsid w:val="003220C1"/>
    <w:rsid w:val="00353906"/>
    <w:rsid w:val="00356D7B"/>
    <w:rsid w:val="00357893"/>
    <w:rsid w:val="003670C1"/>
    <w:rsid w:val="00370471"/>
    <w:rsid w:val="00385FAD"/>
    <w:rsid w:val="003B1503"/>
    <w:rsid w:val="003B3D64"/>
    <w:rsid w:val="003C5133"/>
    <w:rsid w:val="00412673"/>
    <w:rsid w:val="0043031D"/>
    <w:rsid w:val="0046757C"/>
    <w:rsid w:val="005274DD"/>
    <w:rsid w:val="00560F1F"/>
    <w:rsid w:val="00574BB3"/>
    <w:rsid w:val="0057543A"/>
    <w:rsid w:val="00591AC0"/>
    <w:rsid w:val="005A22E2"/>
    <w:rsid w:val="005B030B"/>
    <w:rsid w:val="005D2A41"/>
    <w:rsid w:val="005D7663"/>
    <w:rsid w:val="0062648B"/>
    <w:rsid w:val="00645AD1"/>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2520D"/>
    <w:rsid w:val="00A3247B"/>
    <w:rsid w:val="00A614E7"/>
    <w:rsid w:val="00A72CF3"/>
    <w:rsid w:val="00A72EA7"/>
    <w:rsid w:val="00A82A45"/>
    <w:rsid w:val="00A845A9"/>
    <w:rsid w:val="00A86958"/>
    <w:rsid w:val="00AA5651"/>
    <w:rsid w:val="00AA5848"/>
    <w:rsid w:val="00AA7750"/>
    <w:rsid w:val="00AD65F1"/>
    <w:rsid w:val="00AE064D"/>
    <w:rsid w:val="00AF056B"/>
    <w:rsid w:val="00B049B1"/>
    <w:rsid w:val="00B239BA"/>
    <w:rsid w:val="00B468BB"/>
    <w:rsid w:val="00B542B8"/>
    <w:rsid w:val="00B81F17"/>
    <w:rsid w:val="00C178EA"/>
    <w:rsid w:val="00C43ABD"/>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B763A"/>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0C2846"/>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A252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T1">
    <w:name w:val="T1"/>
    <w:basedOn w:val="Normal"/>
    <w:rsid w:val="00A2520D"/>
    <w:pPr>
      <w:spacing w:before="160" w:line="220" w:lineRule="atLeast"/>
      <w:jc w:val="both"/>
    </w:pPr>
    <w:rPr>
      <w:rFonts w:ascii="Times New Roman" w:hAnsi="Times New Roman"/>
      <w:sz w:val="21"/>
    </w:rPr>
  </w:style>
  <w:style w:type="paragraph" w:customStyle="1" w:styleId="EMLevel1Paragraph">
    <w:name w:val="EM Level 1 Paragraph"/>
    <w:basedOn w:val="Heading2"/>
    <w:qFormat/>
    <w:rsid w:val="00A2520D"/>
    <w:pPr>
      <w:keepNext w:val="0"/>
      <w:keepLines w:val="0"/>
      <w:spacing w:before="120" w:after="60"/>
      <w:ind w:left="720" w:hanging="720"/>
      <w:jc w:val="both"/>
    </w:pPr>
    <w:rPr>
      <w:rFonts w:ascii="Times New Roman" w:eastAsia="Times New Roman" w:hAnsi="Times New Roman" w:cs="Arial"/>
      <w:color w:val="auto"/>
      <w:sz w:val="24"/>
      <w:szCs w:val="28"/>
    </w:rPr>
  </w:style>
  <w:style w:type="character" w:customStyle="1" w:styleId="Heading2Char">
    <w:name w:val="Heading 2 Char"/>
    <w:basedOn w:val="DefaultParagraphFont"/>
    <w:link w:val="Heading2"/>
    <w:semiHidden/>
    <w:rsid w:val="00A2520D"/>
    <w:rPr>
      <w:rFonts w:asciiTheme="majorHAnsi" w:eastAsiaTheme="majorEastAsia" w:hAnsiTheme="majorHAnsi" w:cstheme="majorBidi"/>
      <w:color w:val="365F91" w:themeColor="accent1" w:themeShade="BF"/>
      <w:sz w:val="26"/>
      <w:szCs w:val="2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C43ABD"/>
    <w:rPr>
      <w:rFonts w:ascii="TradeGothic" w:hAnsi="TradeGothic"/>
      <w:sz w:val="22"/>
      <w:lang w:eastAsia="en-US"/>
    </w:rPr>
  </w:style>
  <w:style w:type="paragraph" w:customStyle="1" w:styleId="N1">
    <w:name w:val="N1"/>
    <w:basedOn w:val="Normal"/>
    <w:rsid w:val="00C43ABD"/>
    <w:pPr>
      <w:numPr>
        <w:numId w:val="7"/>
      </w:numPr>
      <w:spacing w:before="160" w:line="220" w:lineRule="atLeast"/>
      <w:jc w:val="both"/>
    </w:pPr>
    <w:rPr>
      <w:rFonts w:ascii="Times New Roman" w:hAnsi="Times New Roman"/>
      <w:sz w:val="21"/>
    </w:rPr>
  </w:style>
  <w:style w:type="paragraph" w:customStyle="1" w:styleId="N2">
    <w:name w:val="N2"/>
    <w:basedOn w:val="N1"/>
    <w:rsid w:val="00C43ABD"/>
    <w:pPr>
      <w:numPr>
        <w:ilvl w:val="1"/>
      </w:numPr>
      <w:spacing w:before="80"/>
    </w:pPr>
  </w:style>
  <w:style w:type="paragraph" w:customStyle="1" w:styleId="N3">
    <w:name w:val="N3"/>
    <w:basedOn w:val="N2"/>
    <w:rsid w:val="00C43ABD"/>
    <w:pPr>
      <w:numPr>
        <w:ilvl w:val="2"/>
      </w:numPr>
    </w:pPr>
  </w:style>
  <w:style w:type="paragraph" w:customStyle="1" w:styleId="N4">
    <w:name w:val="N4"/>
    <w:basedOn w:val="N3"/>
    <w:rsid w:val="00C43ABD"/>
    <w:pPr>
      <w:numPr>
        <w:ilvl w:val="3"/>
      </w:numPr>
    </w:pPr>
  </w:style>
  <w:style w:type="paragraph" w:customStyle="1" w:styleId="N5">
    <w:name w:val="N5"/>
    <w:basedOn w:val="N4"/>
    <w:rsid w:val="00C43AB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rld2tI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161AE98-870A-4DC0-862A-39C6EBD1843C}"/>
</file>

<file path=customXml/itemProps3.xml><?xml version="1.0" encoding="utf-8"?>
<ds:datastoreItem xmlns:ds="http://schemas.openxmlformats.org/officeDocument/2006/customXml" ds:itemID="{29DA9218-3965-4490-8007-AEFE6DBD2873}"/>
</file>

<file path=customXml/itemProps4.xml><?xml version="1.0" encoding="utf-8"?>
<ds:datastoreItem xmlns:ds="http://schemas.openxmlformats.org/officeDocument/2006/customXml" ds:itemID="{1E010B53-B85B-4DDD-9626-FB0CC882761B}"/>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Pesticides (Amendment) (EU Exit) Regulations 2019</dc:title>
  <dc:creator>burnsc</dc:creator>
  <cp:lastModifiedBy>Oxenham, James (OFM - Cabinet Division)</cp:lastModifiedBy>
  <cp:revision>2</cp:revision>
  <cp:lastPrinted>2011-05-27T10:19:00Z</cp:lastPrinted>
  <dcterms:created xsi:type="dcterms:W3CDTF">2019-06-24T10:11:00Z</dcterms:created>
  <dcterms:modified xsi:type="dcterms:W3CDTF">2019-06-24T10:11:00Z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