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3535F" w14:textId="77777777" w:rsidR="001A39E2" w:rsidRDefault="001A39E2" w:rsidP="001A39E2">
      <w:pPr>
        <w:jc w:val="right"/>
        <w:rPr>
          <w:b/>
        </w:rPr>
      </w:pPr>
    </w:p>
    <w:p w14:paraId="14623111" w14:textId="77777777" w:rsidR="007A7BEC" w:rsidRDefault="007A7BEC" w:rsidP="001A39E2">
      <w:pPr>
        <w:jc w:val="right"/>
        <w:rPr>
          <w:b/>
        </w:rPr>
      </w:pPr>
    </w:p>
    <w:p w14:paraId="16010C94"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3F921E1" wp14:editId="77958ECD">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1DACA7"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4C547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8515D1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46DA2A8"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D05FCA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3F94350D" wp14:editId="33C400D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692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FB5DDBF" w14:textId="77777777" w:rsidTr="00B049B1">
        <w:tc>
          <w:tcPr>
            <w:tcW w:w="1383" w:type="dxa"/>
            <w:tcBorders>
              <w:top w:val="nil"/>
              <w:left w:val="nil"/>
              <w:bottom w:val="nil"/>
              <w:right w:val="nil"/>
            </w:tcBorders>
            <w:vAlign w:val="center"/>
          </w:tcPr>
          <w:p w14:paraId="39BB0CB4" w14:textId="77777777" w:rsidR="00EA5290" w:rsidRDefault="00EA5290" w:rsidP="00B049B1">
            <w:pPr>
              <w:spacing w:before="120" w:after="120"/>
              <w:rPr>
                <w:rFonts w:ascii="Arial" w:hAnsi="Arial" w:cs="Arial"/>
                <w:b/>
                <w:bCs/>
                <w:sz w:val="24"/>
                <w:szCs w:val="24"/>
              </w:rPr>
            </w:pPr>
          </w:p>
          <w:p w14:paraId="57E3346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25E132F" w14:textId="77777777" w:rsidR="00EA5290" w:rsidRPr="00670227" w:rsidRDefault="00EA5290" w:rsidP="00B049B1">
            <w:pPr>
              <w:spacing w:before="120" w:after="120"/>
              <w:rPr>
                <w:rFonts w:ascii="Arial" w:hAnsi="Arial" w:cs="Arial"/>
                <w:b/>
                <w:bCs/>
                <w:sz w:val="24"/>
                <w:szCs w:val="24"/>
              </w:rPr>
            </w:pPr>
          </w:p>
          <w:p w14:paraId="2E12BBA8" w14:textId="3F2F9BCF" w:rsidR="00EA5290" w:rsidRPr="007A7BEC" w:rsidRDefault="00AA1B2B" w:rsidP="00AC2688">
            <w:pPr>
              <w:rPr>
                <w:rFonts w:ascii="Arial" w:hAnsi="Arial" w:cs="Arial"/>
                <w:b/>
                <w:sz w:val="24"/>
                <w:szCs w:val="24"/>
              </w:rPr>
            </w:pPr>
            <w:bookmarkStart w:id="0" w:name="_GoBack"/>
            <w:r w:rsidRPr="005B0C47">
              <w:rPr>
                <w:rFonts w:ascii="Arial" w:hAnsi="Arial" w:cs="Arial"/>
                <w:b/>
                <w:sz w:val="24"/>
                <w:szCs w:val="24"/>
              </w:rPr>
              <w:t>The Persistent Organic Pollutants (Amendment) (EU Exit) Regulations 2019</w:t>
            </w:r>
            <w:bookmarkEnd w:id="0"/>
          </w:p>
        </w:tc>
      </w:tr>
      <w:tr w:rsidR="00EA5290" w:rsidRPr="00A011A1" w14:paraId="11A15FAB" w14:textId="77777777" w:rsidTr="00B049B1">
        <w:tc>
          <w:tcPr>
            <w:tcW w:w="1383" w:type="dxa"/>
            <w:tcBorders>
              <w:top w:val="nil"/>
              <w:left w:val="nil"/>
              <w:bottom w:val="nil"/>
              <w:right w:val="nil"/>
            </w:tcBorders>
            <w:vAlign w:val="center"/>
          </w:tcPr>
          <w:p w14:paraId="1F08A75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A080B2C" w14:textId="3946AF73" w:rsidR="00EA5290" w:rsidRPr="00670227" w:rsidRDefault="00DD5313" w:rsidP="00AC2688">
            <w:pPr>
              <w:spacing w:before="120" w:after="120"/>
              <w:rPr>
                <w:rFonts w:ascii="Arial" w:hAnsi="Arial" w:cs="Arial"/>
                <w:b/>
                <w:bCs/>
                <w:sz w:val="24"/>
                <w:szCs w:val="24"/>
              </w:rPr>
            </w:pPr>
            <w:r>
              <w:rPr>
                <w:rFonts w:ascii="Arial" w:hAnsi="Arial" w:cs="Arial"/>
                <w:b/>
                <w:bCs/>
                <w:sz w:val="24"/>
                <w:szCs w:val="24"/>
              </w:rPr>
              <w:t>16</w:t>
            </w:r>
            <w:r w:rsidR="00AC2688">
              <w:rPr>
                <w:rFonts w:ascii="Arial" w:hAnsi="Arial" w:cs="Arial"/>
                <w:b/>
                <w:bCs/>
                <w:sz w:val="24"/>
                <w:szCs w:val="24"/>
              </w:rPr>
              <w:t xml:space="preserve"> </w:t>
            </w:r>
            <w:r w:rsidR="008E4DE4">
              <w:rPr>
                <w:rFonts w:ascii="Arial" w:hAnsi="Arial" w:cs="Arial"/>
                <w:b/>
                <w:bCs/>
                <w:sz w:val="24"/>
                <w:szCs w:val="24"/>
              </w:rPr>
              <w:t>October</w:t>
            </w:r>
            <w:r w:rsidR="008E54AE">
              <w:rPr>
                <w:rFonts w:ascii="Arial" w:hAnsi="Arial" w:cs="Arial"/>
                <w:b/>
                <w:bCs/>
                <w:sz w:val="24"/>
                <w:szCs w:val="24"/>
              </w:rPr>
              <w:t xml:space="preserve">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3D1E894A" w14:textId="77777777" w:rsidTr="00AC2688">
        <w:trPr>
          <w:trHeight w:val="564"/>
        </w:trPr>
        <w:tc>
          <w:tcPr>
            <w:tcW w:w="1383" w:type="dxa"/>
            <w:tcBorders>
              <w:top w:val="nil"/>
              <w:left w:val="nil"/>
              <w:bottom w:val="nil"/>
              <w:right w:val="nil"/>
            </w:tcBorders>
            <w:vAlign w:val="center"/>
          </w:tcPr>
          <w:p w14:paraId="76DFDDF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5523095"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65E8CF92" w14:textId="77777777" w:rsidR="00AA1B2B" w:rsidRDefault="00AA1B2B" w:rsidP="00AA1B2B">
      <w:pPr>
        <w:rPr>
          <w:rFonts w:ascii="Arial" w:hAnsi="Arial" w:cs="Arial"/>
          <w:b/>
          <w:sz w:val="24"/>
          <w:szCs w:val="24"/>
        </w:rPr>
      </w:pPr>
    </w:p>
    <w:p w14:paraId="23FF10BC" w14:textId="34135D23" w:rsidR="00AA1B2B" w:rsidRDefault="00AA1B2B" w:rsidP="00AA1B2B">
      <w:pPr>
        <w:rPr>
          <w:rFonts w:ascii="Arial" w:hAnsi="Arial" w:cs="Arial"/>
          <w:b/>
          <w:sz w:val="24"/>
          <w:szCs w:val="24"/>
        </w:rPr>
      </w:pPr>
      <w:r>
        <w:rPr>
          <w:rFonts w:ascii="Arial" w:hAnsi="Arial" w:cs="Arial"/>
          <w:b/>
          <w:sz w:val="24"/>
          <w:szCs w:val="24"/>
        </w:rPr>
        <w:t>T</w:t>
      </w:r>
      <w:r w:rsidRPr="00AA1B2B">
        <w:rPr>
          <w:rFonts w:ascii="Arial" w:hAnsi="Arial" w:cs="Arial"/>
          <w:b/>
          <w:sz w:val="24"/>
          <w:szCs w:val="24"/>
        </w:rPr>
        <w:t>he Persistent Organic Poll</w:t>
      </w:r>
      <w:r>
        <w:rPr>
          <w:rFonts w:ascii="Arial" w:hAnsi="Arial" w:cs="Arial"/>
          <w:b/>
          <w:sz w:val="24"/>
          <w:szCs w:val="24"/>
        </w:rPr>
        <w:t>u</w:t>
      </w:r>
      <w:r w:rsidRPr="00AA1B2B">
        <w:rPr>
          <w:rFonts w:ascii="Arial" w:hAnsi="Arial" w:cs="Arial"/>
          <w:b/>
          <w:sz w:val="24"/>
          <w:szCs w:val="24"/>
        </w:rPr>
        <w:t>tants (Amendment) (E</w:t>
      </w:r>
      <w:r>
        <w:rPr>
          <w:rFonts w:ascii="Arial" w:hAnsi="Arial" w:cs="Arial"/>
          <w:b/>
          <w:sz w:val="24"/>
          <w:szCs w:val="24"/>
        </w:rPr>
        <w:t>U</w:t>
      </w:r>
      <w:r w:rsidRPr="00AA1B2B">
        <w:rPr>
          <w:rFonts w:ascii="Arial" w:hAnsi="Arial" w:cs="Arial"/>
          <w:b/>
          <w:sz w:val="24"/>
          <w:szCs w:val="24"/>
        </w:rPr>
        <w:t xml:space="preserve"> Exit) Regulations 2019 (the “2019 Regulations”)</w:t>
      </w:r>
    </w:p>
    <w:p w14:paraId="1B0AE373" w14:textId="77777777" w:rsidR="00AA1B2B" w:rsidRPr="00AA1B2B" w:rsidRDefault="00AA1B2B" w:rsidP="00AA1B2B">
      <w:pPr>
        <w:rPr>
          <w:rFonts w:ascii="Arial" w:hAnsi="Arial" w:cs="Arial"/>
          <w:b/>
          <w:kern w:val="28"/>
          <w:sz w:val="24"/>
          <w:szCs w:val="24"/>
        </w:rPr>
      </w:pPr>
    </w:p>
    <w:p w14:paraId="0B31D05F" w14:textId="77777777" w:rsidR="00AA1B2B" w:rsidRPr="00AA1B2B" w:rsidRDefault="00AA1B2B" w:rsidP="00AA1B2B">
      <w:pPr>
        <w:rPr>
          <w:rFonts w:ascii="Arial" w:hAnsi="Arial" w:cs="Arial"/>
          <w:b/>
          <w:sz w:val="24"/>
          <w:szCs w:val="24"/>
        </w:rPr>
      </w:pPr>
      <w:r w:rsidRPr="00AA1B2B">
        <w:rPr>
          <w:rFonts w:ascii="Arial" w:hAnsi="Arial" w:cs="Arial"/>
          <w:b/>
          <w:sz w:val="24"/>
          <w:szCs w:val="24"/>
        </w:rPr>
        <w:t xml:space="preserve">The </w:t>
      </w:r>
      <w:proofErr w:type="gramStart"/>
      <w:r w:rsidRPr="00AA1B2B">
        <w:rPr>
          <w:rFonts w:ascii="Arial" w:hAnsi="Arial" w:cs="Arial"/>
          <w:b/>
          <w:sz w:val="24"/>
          <w:szCs w:val="24"/>
        </w:rPr>
        <w:t>Law which</w:t>
      </w:r>
      <w:proofErr w:type="gramEnd"/>
      <w:r w:rsidRPr="00AA1B2B">
        <w:rPr>
          <w:rFonts w:ascii="Arial" w:hAnsi="Arial" w:cs="Arial"/>
          <w:b/>
          <w:sz w:val="24"/>
          <w:szCs w:val="24"/>
        </w:rPr>
        <w:t xml:space="preserve"> is being amended/ revoked</w:t>
      </w:r>
    </w:p>
    <w:p w14:paraId="11137859" w14:textId="77777777" w:rsidR="00AA1B2B" w:rsidRPr="00AA1B2B" w:rsidRDefault="00AA1B2B" w:rsidP="00AA1B2B">
      <w:pPr>
        <w:pStyle w:val="T1"/>
        <w:numPr>
          <w:ilvl w:val="0"/>
          <w:numId w:val="20"/>
        </w:numPr>
        <w:spacing w:before="0" w:line="240" w:lineRule="auto"/>
        <w:ind w:left="426"/>
        <w:jc w:val="left"/>
        <w:rPr>
          <w:rFonts w:ascii="Arial" w:hAnsi="Arial" w:cs="Arial"/>
          <w:sz w:val="24"/>
          <w:szCs w:val="24"/>
          <w:u w:val="single"/>
        </w:rPr>
      </w:pPr>
      <w:r w:rsidRPr="00AA1B2B">
        <w:rPr>
          <w:rFonts w:ascii="Arial" w:hAnsi="Arial" w:cs="Arial"/>
          <w:sz w:val="24"/>
          <w:szCs w:val="24"/>
        </w:rPr>
        <w:t>The Chemicals (Health and Safety) and Genetically Modified Organisms (Contained Use) (Amendment etc.) (EU Exit) Regulations 2019</w:t>
      </w:r>
    </w:p>
    <w:p w14:paraId="32FCABC6" w14:textId="77777777" w:rsidR="00AA1B2B" w:rsidRPr="00AA1B2B" w:rsidRDefault="00AA1B2B" w:rsidP="00AA1B2B">
      <w:pPr>
        <w:pStyle w:val="H1"/>
        <w:numPr>
          <w:ilvl w:val="0"/>
          <w:numId w:val="20"/>
        </w:numPr>
        <w:spacing w:before="0" w:line="240" w:lineRule="auto"/>
        <w:ind w:left="426"/>
        <w:jc w:val="left"/>
        <w:rPr>
          <w:rFonts w:ascii="Arial" w:hAnsi="Arial" w:cs="Arial"/>
          <w:b w:val="0"/>
          <w:sz w:val="24"/>
          <w:szCs w:val="24"/>
        </w:rPr>
      </w:pPr>
      <w:r w:rsidRPr="00AA1B2B">
        <w:rPr>
          <w:rFonts w:ascii="Arial" w:hAnsi="Arial" w:cs="Arial"/>
          <w:b w:val="0"/>
          <w:sz w:val="24"/>
          <w:szCs w:val="24"/>
        </w:rPr>
        <w:t>The Environment and Wildlife (Legislative Functions) (EU Exit) Regulations 2019</w:t>
      </w:r>
    </w:p>
    <w:p w14:paraId="2256A2AC" w14:textId="77777777" w:rsidR="00AA1B2B" w:rsidRPr="00AA1B2B" w:rsidRDefault="00AA1B2B" w:rsidP="00AA1B2B">
      <w:pPr>
        <w:pStyle w:val="T1"/>
        <w:numPr>
          <w:ilvl w:val="0"/>
          <w:numId w:val="20"/>
        </w:numPr>
        <w:spacing w:before="0" w:line="240" w:lineRule="auto"/>
        <w:ind w:left="426"/>
        <w:jc w:val="left"/>
        <w:rPr>
          <w:rFonts w:ascii="Arial" w:hAnsi="Arial" w:cs="Arial"/>
          <w:sz w:val="24"/>
          <w:szCs w:val="24"/>
          <w:u w:val="single"/>
        </w:rPr>
      </w:pPr>
      <w:r w:rsidRPr="00AA1B2B">
        <w:rPr>
          <w:rFonts w:ascii="Arial" w:hAnsi="Arial" w:cs="Arial"/>
          <w:sz w:val="24"/>
          <w:szCs w:val="24"/>
        </w:rPr>
        <w:t xml:space="preserve">Regulation (EU) 2019/1021 on Persistent Organic Pollutants </w:t>
      </w:r>
    </w:p>
    <w:p w14:paraId="7BC8C79C" w14:textId="77777777" w:rsidR="00AA1B2B" w:rsidRPr="00AA1B2B" w:rsidRDefault="00AA1B2B" w:rsidP="00AA1B2B">
      <w:pPr>
        <w:pStyle w:val="ListParagraph"/>
        <w:numPr>
          <w:ilvl w:val="0"/>
          <w:numId w:val="20"/>
        </w:numPr>
        <w:ind w:left="426"/>
        <w:contextualSpacing/>
        <w:rPr>
          <w:rFonts w:ascii="Arial" w:hAnsi="Arial" w:cs="Arial"/>
          <w:sz w:val="24"/>
          <w:szCs w:val="24"/>
          <w:u w:val="single"/>
        </w:rPr>
      </w:pPr>
      <w:r w:rsidRPr="00AA1B2B">
        <w:rPr>
          <w:rFonts w:ascii="Arial" w:hAnsi="Arial" w:cs="Arial"/>
          <w:sz w:val="24"/>
          <w:szCs w:val="24"/>
        </w:rPr>
        <w:t>Part 4 of the Persistent Organic Pollutants (Amendment) (EU Exit) Regulations 2018</w:t>
      </w:r>
    </w:p>
    <w:p w14:paraId="609E95D8" w14:textId="77777777" w:rsidR="00AA1B2B" w:rsidRPr="00AA1B2B" w:rsidRDefault="00AA1B2B" w:rsidP="00AA1B2B">
      <w:pPr>
        <w:pStyle w:val="T1"/>
        <w:spacing w:before="0" w:line="240" w:lineRule="auto"/>
        <w:jc w:val="left"/>
        <w:rPr>
          <w:rFonts w:ascii="Arial" w:hAnsi="Arial" w:cs="Arial"/>
          <w:sz w:val="24"/>
          <w:szCs w:val="24"/>
          <w:u w:val="single"/>
        </w:rPr>
      </w:pPr>
    </w:p>
    <w:p w14:paraId="3EE76825" w14:textId="77777777" w:rsidR="00AA1B2B" w:rsidRPr="00AA1B2B" w:rsidRDefault="00AA1B2B" w:rsidP="00AA1B2B">
      <w:pPr>
        <w:rPr>
          <w:rFonts w:ascii="Arial" w:hAnsi="Arial" w:cs="Arial"/>
          <w:b/>
          <w:sz w:val="24"/>
          <w:szCs w:val="24"/>
        </w:rPr>
      </w:pPr>
      <w:r w:rsidRPr="00AA1B2B">
        <w:rPr>
          <w:rFonts w:ascii="Arial" w:hAnsi="Arial" w:cs="Arial"/>
          <w:b/>
          <w:sz w:val="24"/>
          <w:szCs w:val="24"/>
        </w:rPr>
        <w:t xml:space="preserve">The purpose of the amendments </w:t>
      </w:r>
    </w:p>
    <w:p w14:paraId="4E9323C4" w14:textId="02C71A65" w:rsidR="00AA1B2B" w:rsidRDefault="00AA1B2B" w:rsidP="00AA1B2B">
      <w:pPr>
        <w:pStyle w:val="EMLevel1Paragraph"/>
        <w:spacing w:before="0" w:after="0"/>
        <w:ind w:left="0" w:firstLine="0"/>
        <w:rPr>
          <w:rFonts w:ascii="Arial" w:hAnsi="Arial"/>
          <w:szCs w:val="24"/>
        </w:rPr>
      </w:pPr>
      <w:r w:rsidRPr="00AA1B2B">
        <w:rPr>
          <w:rFonts w:ascii="Arial" w:hAnsi="Arial"/>
          <w:szCs w:val="24"/>
        </w:rPr>
        <w:t>The 2019 Regulations make the necessary corrections to ensure that Regulation (EU) 2019/1021 of the European Parliament and of the Council on persistent organic pollutants (POPs) functions once we leave the European Union (“EU"). This includes transferring legislative and administrative functions that are currently conferred by EU legislation upon the European Commission (“the Commission”) and the European Chemicals Agency (“ECHA”), to be exercisable instead by public authorities in the United Kingdom (“UK”)</w:t>
      </w:r>
      <w:proofErr w:type="gramStart"/>
      <w:r w:rsidRPr="00AA1B2B">
        <w:rPr>
          <w:rFonts w:ascii="Arial" w:hAnsi="Arial"/>
          <w:szCs w:val="24"/>
        </w:rPr>
        <w:t>,</w:t>
      </w:r>
      <w:proofErr w:type="gramEnd"/>
      <w:r w:rsidRPr="00AA1B2B">
        <w:rPr>
          <w:rFonts w:ascii="Arial" w:hAnsi="Arial"/>
          <w:szCs w:val="24"/>
        </w:rPr>
        <w:t xml:space="preserve"> so that they can be exercised at national level after the UK leaves the EU.  </w:t>
      </w:r>
    </w:p>
    <w:p w14:paraId="2B4C3B48" w14:textId="77777777" w:rsidR="00AA1B2B" w:rsidRPr="00AA1B2B" w:rsidRDefault="00AA1B2B" w:rsidP="00AA1B2B">
      <w:pPr>
        <w:pStyle w:val="EMLevel1Paragraph"/>
        <w:spacing w:before="0" w:after="0"/>
        <w:ind w:left="0" w:firstLine="0"/>
        <w:rPr>
          <w:rFonts w:ascii="Arial" w:hAnsi="Arial"/>
          <w:szCs w:val="24"/>
        </w:rPr>
      </w:pPr>
    </w:p>
    <w:p w14:paraId="7DCFE540" w14:textId="508827EF" w:rsidR="00AA1B2B" w:rsidRDefault="00AA1B2B" w:rsidP="00AA1B2B">
      <w:pPr>
        <w:pStyle w:val="EMLevel1Paragraph"/>
        <w:spacing w:before="0" w:after="0"/>
        <w:ind w:left="0" w:firstLine="0"/>
        <w:rPr>
          <w:rFonts w:ascii="Arial" w:hAnsi="Arial"/>
          <w:szCs w:val="24"/>
        </w:rPr>
      </w:pPr>
      <w:proofErr w:type="gramStart"/>
      <w:r w:rsidRPr="00AA1B2B">
        <w:rPr>
          <w:rFonts w:ascii="Arial" w:hAnsi="Arial"/>
          <w:szCs w:val="24"/>
        </w:rPr>
        <w:t>The 2019 Regulations revoke the following regulations; part 4 of the</w:t>
      </w:r>
      <w:r w:rsidRPr="00AA1B2B">
        <w:rPr>
          <w:rFonts w:ascii="Arial" w:hAnsi="Arial"/>
          <w:color w:val="000000"/>
          <w:szCs w:val="24"/>
        </w:rPr>
        <w:t xml:space="preserve"> Persistent Organic Pollutants (Amendment) (EU Exit) Regulations 2018</w:t>
      </w:r>
      <w:r w:rsidRPr="00AA1B2B">
        <w:rPr>
          <w:rFonts w:ascii="Arial" w:hAnsi="Arial"/>
          <w:szCs w:val="24"/>
        </w:rPr>
        <w:t xml:space="preserve"> (S.I. 2018/1405) which made corrections to the, now repealed, Regulation (EC) No 850/2004 on POPs; and regulation 2 of the Environment and Wildlife (Legislative Functions) (EU Exit) Regulation 2019 (S.I. 2019/473) which transferred legislative functions contained in Regulation (EC) No 850/2004 on POPs.</w:t>
      </w:r>
      <w:proofErr w:type="gramEnd"/>
      <w:r w:rsidRPr="00AA1B2B">
        <w:rPr>
          <w:rFonts w:ascii="Arial" w:hAnsi="Arial"/>
          <w:szCs w:val="24"/>
        </w:rPr>
        <w:t xml:space="preserve"> </w:t>
      </w:r>
    </w:p>
    <w:p w14:paraId="1270D106" w14:textId="77777777" w:rsidR="00AA1B2B" w:rsidRPr="00AA1B2B" w:rsidRDefault="00AA1B2B" w:rsidP="00AA1B2B">
      <w:pPr>
        <w:pStyle w:val="EMLevel1Paragraph"/>
        <w:spacing w:before="0" w:after="0"/>
        <w:ind w:left="0" w:firstLine="0"/>
        <w:rPr>
          <w:rFonts w:ascii="Arial" w:hAnsi="Arial"/>
          <w:szCs w:val="24"/>
        </w:rPr>
      </w:pPr>
    </w:p>
    <w:p w14:paraId="2B9ABA4B" w14:textId="77777777" w:rsidR="00AA1B2B" w:rsidRPr="00AA1B2B" w:rsidRDefault="00AA1B2B" w:rsidP="00AA1B2B">
      <w:pPr>
        <w:outlineLvl w:val="1"/>
        <w:rPr>
          <w:rFonts w:ascii="Arial" w:hAnsi="Arial" w:cs="Arial"/>
          <w:sz w:val="24"/>
          <w:szCs w:val="24"/>
        </w:rPr>
      </w:pPr>
      <w:r w:rsidRPr="00AA1B2B">
        <w:rPr>
          <w:rFonts w:ascii="Arial" w:hAnsi="Arial" w:cs="Arial"/>
          <w:sz w:val="24"/>
          <w:szCs w:val="24"/>
        </w:rPr>
        <w:t>The 2019 Regulations also make consequential amendments to the Chemicals (Health and Safety) and Genetically Modified Organisms (Contained Use) (Amendment etc.) (EU Exit) Regulations 2019</w:t>
      </w:r>
    </w:p>
    <w:p w14:paraId="69E99467" w14:textId="77777777" w:rsidR="00AA1B2B" w:rsidRPr="00AA1B2B" w:rsidRDefault="00AA1B2B" w:rsidP="00AA1B2B">
      <w:pPr>
        <w:outlineLvl w:val="1"/>
        <w:rPr>
          <w:rFonts w:ascii="Arial" w:hAnsi="Arial" w:cs="Arial"/>
          <w:sz w:val="24"/>
          <w:szCs w:val="24"/>
        </w:rPr>
      </w:pPr>
    </w:p>
    <w:p w14:paraId="40EF265C" w14:textId="70A85693" w:rsidR="00AA1B2B" w:rsidRDefault="00AA1B2B" w:rsidP="00AA1B2B">
      <w:pPr>
        <w:rPr>
          <w:rFonts w:ascii="Arial" w:hAnsi="Arial" w:cs="Arial"/>
          <w:sz w:val="24"/>
          <w:szCs w:val="24"/>
        </w:rPr>
      </w:pPr>
      <w:r w:rsidRPr="00AA1B2B">
        <w:rPr>
          <w:rFonts w:ascii="Arial" w:hAnsi="Arial" w:cs="Arial"/>
          <w:sz w:val="24"/>
          <w:szCs w:val="24"/>
        </w:rPr>
        <w:t xml:space="preserve">The 2019 Regulations and accompanying Explanatory Memorandum, setting out the effect of amendments are available </w:t>
      </w:r>
      <w:proofErr w:type="gramStart"/>
      <w:r w:rsidRPr="00AA1B2B">
        <w:rPr>
          <w:rFonts w:ascii="Arial" w:hAnsi="Arial" w:cs="Arial"/>
          <w:sz w:val="24"/>
          <w:szCs w:val="24"/>
        </w:rPr>
        <w:t>at:</w:t>
      </w:r>
      <w:proofErr w:type="gramEnd"/>
      <w:r w:rsidRPr="00AA1B2B">
        <w:rPr>
          <w:rFonts w:ascii="Arial" w:hAnsi="Arial" w:cs="Arial"/>
          <w:sz w:val="24"/>
          <w:szCs w:val="24"/>
        </w:rPr>
        <w:t xml:space="preserve"> </w:t>
      </w:r>
      <w:hyperlink r:id="rId12" w:history="1">
        <w:r w:rsidRPr="00122D54">
          <w:rPr>
            <w:rStyle w:val="Hyperlink"/>
            <w:rFonts w:ascii="Arial" w:hAnsi="Arial" w:cs="Arial"/>
            <w:sz w:val="24"/>
            <w:szCs w:val="24"/>
          </w:rPr>
          <w:t>https://beta.parliament.uk/work-packages/HdaKby6V</w:t>
        </w:r>
      </w:hyperlink>
    </w:p>
    <w:p w14:paraId="319F6353" w14:textId="54136F79" w:rsidR="00AA1B2B" w:rsidRPr="00AA1B2B" w:rsidRDefault="00AA1B2B" w:rsidP="00AA1B2B">
      <w:pPr>
        <w:rPr>
          <w:rStyle w:val="Hyperlink"/>
          <w:rFonts w:ascii="Arial" w:hAnsi="Arial" w:cs="Arial"/>
          <w:sz w:val="24"/>
          <w:szCs w:val="24"/>
        </w:rPr>
      </w:pPr>
    </w:p>
    <w:p w14:paraId="4AB24111" w14:textId="77777777" w:rsidR="00AA1B2B" w:rsidRPr="00AA1B2B" w:rsidRDefault="00AA1B2B" w:rsidP="00AA1B2B">
      <w:pPr>
        <w:rPr>
          <w:rFonts w:ascii="Arial" w:hAnsi="Arial" w:cs="Arial"/>
          <w:b/>
          <w:sz w:val="24"/>
          <w:szCs w:val="24"/>
        </w:rPr>
      </w:pPr>
      <w:r w:rsidRPr="00AA1B2B">
        <w:rPr>
          <w:rFonts w:ascii="Arial" w:hAnsi="Arial" w:cs="Arial"/>
          <w:b/>
          <w:sz w:val="24"/>
          <w:szCs w:val="24"/>
        </w:rPr>
        <w:lastRenderedPageBreak/>
        <w:t>Any impact the SI may have on the legislative competence of the National Assembly for Wales and/or the Welsh Ministers’ executive competence</w:t>
      </w:r>
    </w:p>
    <w:p w14:paraId="778D8431" w14:textId="51115FA2" w:rsidR="00AA1B2B" w:rsidRDefault="00AA1B2B" w:rsidP="00AA1B2B">
      <w:pPr>
        <w:rPr>
          <w:rFonts w:ascii="Arial" w:hAnsi="Arial" w:cs="Arial"/>
          <w:sz w:val="24"/>
          <w:szCs w:val="24"/>
        </w:rPr>
      </w:pPr>
      <w:r w:rsidRPr="00AA1B2B">
        <w:rPr>
          <w:rFonts w:ascii="Arial" w:hAnsi="Arial" w:cs="Arial"/>
          <w:sz w:val="24"/>
          <w:szCs w:val="24"/>
        </w:rPr>
        <w:t xml:space="preserve">The 2019 Regulations contain </w:t>
      </w:r>
      <w:proofErr w:type="gramStart"/>
      <w:r w:rsidRPr="00AA1B2B">
        <w:rPr>
          <w:rFonts w:ascii="Arial" w:hAnsi="Arial" w:cs="Arial"/>
          <w:sz w:val="24"/>
          <w:szCs w:val="24"/>
        </w:rPr>
        <w:t>provision which</w:t>
      </w:r>
      <w:proofErr w:type="gramEnd"/>
      <w:r w:rsidRPr="00AA1B2B">
        <w:rPr>
          <w:rFonts w:ascii="Arial" w:hAnsi="Arial" w:cs="Arial"/>
          <w:sz w:val="24"/>
          <w:szCs w:val="24"/>
        </w:rPr>
        <w:t xml:space="preserve"> enables the Welsh Ministers to exercise functions in relation to Wales without encumbrance and for the Welsh Ministers to provide consent to the Secretary of State to exercise functions in relation to Wales. Functions transferred to the Secretary of State on a concurrent basis may constitute functions of a Minister of the Crown for the purposes of paragraph 11 of Schedule 7B to the Government of Wales Act 2006. </w:t>
      </w:r>
    </w:p>
    <w:p w14:paraId="228E99BA" w14:textId="77777777" w:rsidR="00AA1B2B" w:rsidRPr="00AA1B2B" w:rsidRDefault="00AA1B2B" w:rsidP="00AA1B2B">
      <w:pPr>
        <w:rPr>
          <w:rFonts w:ascii="Arial" w:hAnsi="Arial" w:cs="Arial"/>
          <w:sz w:val="24"/>
          <w:szCs w:val="24"/>
        </w:rPr>
      </w:pPr>
    </w:p>
    <w:p w14:paraId="0B1540C4" w14:textId="20A0D52E" w:rsidR="00AA1B2B" w:rsidRDefault="00AA1B2B" w:rsidP="00AA1B2B">
      <w:pPr>
        <w:rPr>
          <w:rFonts w:ascii="Arial" w:hAnsi="Arial" w:cs="Arial"/>
          <w:sz w:val="24"/>
          <w:szCs w:val="24"/>
        </w:rPr>
      </w:pPr>
      <w:r w:rsidRPr="00AA1B2B">
        <w:rPr>
          <w:rFonts w:ascii="Arial" w:hAnsi="Arial" w:cs="Arial"/>
          <w:sz w:val="24"/>
          <w:szCs w:val="24"/>
        </w:rPr>
        <w:t xml:space="preserve">This may operate as a constraint on the Assembly’s legislative competence to remove or modify such functions without seeking the consent of the relevant UK Government Minister. </w:t>
      </w:r>
    </w:p>
    <w:p w14:paraId="551F07CC" w14:textId="77777777" w:rsidR="00AA1B2B" w:rsidRPr="00AA1B2B" w:rsidRDefault="00AA1B2B" w:rsidP="00AA1B2B">
      <w:pPr>
        <w:rPr>
          <w:rFonts w:ascii="Arial" w:hAnsi="Arial" w:cs="Arial"/>
          <w:sz w:val="24"/>
          <w:szCs w:val="24"/>
        </w:rPr>
      </w:pPr>
    </w:p>
    <w:p w14:paraId="49626782" w14:textId="77777777" w:rsidR="00AA1B2B" w:rsidRPr="00AA1B2B" w:rsidRDefault="00AA1B2B" w:rsidP="00AA1B2B">
      <w:pPr>
        <w:rPr>
          <w:rFonts w:ascii="Arial" w:hAnsi="Arial" w:cs="Arial"/>
          <w:b/>
          <w:sz w:val="24"/>
          <w:szCs w:val="24"/>
        </w:rPr>
      </w:pPr>
      <w:r w:rsidRPr="00AA1B2B">
        <w:rPr>
          <w:rFonts w:ascii="Arial" w:hAnsi="Arial" w:cs="Arial"/>
          <w:b/>
          <w:sz w:val="24"/>
          <w:szCs w:val="24"/>
        </w:rPr>
        <w:t xml:space="preserve">Why consent </w:t>
      </w:r>
      <w:proofErr w:type="gramStart"/>
      <w:r w:rsidRPr="00AA1B2B">
        <w:rPr>
          <w:rFonts w:ascii="Arial" w:hAnsi="Arial" w:cs="Arial"/>
          <w:b/>
          <w:sz w:val="24"/>
          <w:szCs w:val="24"/>
        </w:rPr>
        <w:t>was given</w:t>
      </w:r>
      <w:proofErr w:type="gramEnd"/>
    </w:p>
    <w:p w14:paraId="5F29CAEE" w14:textId="426D8ABA" w:rsidR="00AA1B2B" w:rsidRDefault="00AA1B2B" w:rsidP="00AA1B2B">
      <w:pPr>
        <w:rPr>
          <w:rFonts w:ascii="Arial" w:hAnsi="Arial" w:cs="Arial"/>
          <w:sz w:val="24"/>
          <w:szCs w:val="24"/>
        </w:rPr>
      </w:pPr>
      <w:r w:rsidRPr="00AA1B2B">
        <w:rPr>
          <w:rFonts w:ascii="Arial" w:hAnsi="Arial" w:cs="Arial"/>
          <w:sz w:val="24"/>
          <w:szCs w:val="24"/>
        </w:rPr>
        <w:t xml:space="preserve">Consent </w:t>
      </w:r>
      <w:proofErr w:type="gramStart"/>
      <w:r w:rsidRPr="00AA1B2B">
        <w:rPr>
          <w:rFonts w:ascii="Arial" w:hAnsi="Arial" w:cs="Arial"/>
          <w:sz w:val="24"/>
          <w:szCs w:val="24"/>
        </w:rPr>
        <w:t>has been given</w:t>
      </w:r>
      <w:proofErr w:type="gramEnd"/>
      <w:r w:rsidRPr="00AA1B2B">
        <w:rPr>
          <w:rFonts w:ascii="Arial" w:hAnsi="Arial" w:cs="Arial"/>
          <w:sz w:val="24"/>
          <w:szCs w:val="24"/>
        </w:rPr>
        <w:t xml:space="preserve"> for the UK Government to make these corrections in relation to, and on behalf of, Wales for reasons of efficiency, expediency and due to the technical nature of the amendments. The amendments </w:t>
      </w:r>
      <w:proofErr w:type="gramStart"/>
      <w:r w:rsidRPr="00AA1B2B">
        <w:rPr>
          <w:rFonts w:ascii="Arial" w:hAnsi="Arial" w:cs="Arial"/>
          <w:sz w:val="24"/>
          <w:szCs w:val="24"/>
        </w:rPr>
        <w:t>have been considered</w:t>
      </w:r>
      <w:proofErr w:type="gramEnd"/>
      <w:r w:rsidRPr="00AA1B2B">
        <w:rPr>
          <w:rFonts w:ascii="Arial" w:hAnsi="Arial" w:cs="Arial"/>
          <w:sz w:val="24"/>
          <w:szCs w:val="24"/>
        </w:rPr>
        <w:t xml:space="preserve"> fully and there is no divergence in policy. These amendments are to ensure that the statute book remains functional following the UK’s exit from the EU. </w:t>
      </w:r>
    </w:p>
    <w:p w14:paraId="7F6FEB11" w14:textId="77777777" w:rsidR="00AA1B2B" w:rsidRPr="00AA1B2B" w:rsidRDefault="00AA1B2B" w:rsidP="00AA1B2B">
      <w:pPr>
        <w:rPr>
          <w:rFonts w:ascii="Arial" w:hAnsi="Arial" w:cs="Arial"/>
          <w:sz w:val="24"/>
          <w:szCs w:val="24"/>
        </w:rPr>
      </w:pPr>
    </w:p>
    <w:p w14:paraId="0D72C1DD" w14:textId="59422B31" w:rsidR="008D4200" w:rsidRPr="008D4200" w:rsidRDefault="00AA1B2B" w:rsidP="00AA1B2B">
      <w:pPr>
        <w:pStyle w:val="EMLevel1Paragraph"/>
        <w:tabs>
          <w:tab w:val="clear" w:pos="696"/>
          <w:tab w:val="left" w:pos="720"/>
        </w:tabs>
        <w:spacing w:before="0" w:after="0"/>
        <w:ind w:left="0" w:firstLine="0"/>
        <w:rPr>
          <w:rFonts w:ascii="Arial" w:hAnsi="Arial"/>
          <w:b/>
          <w:szCs w:val="24"/>
        </w:rPr>
      </w:pPr>
      <w:r w:rsidRPr="00AA1B2B">
        <w:rPr>
          <w:rFonts w:ascii="Arial" w:hAnsi="Arial"/>
          <w:szCs w:val="24"/>
        </w:rPr>
        <w:t xml:space="preserve">The 2019 Regulations will follow the ‘urgent made affirmative </w:t>
      </w:r>
      <w:proofErr w:type="gramStart"/>
      <w:r w:rsidRPr="00AA1B2B">
        <w:rPr>
          <w:rFonts w:ascii="Arial" w:hAnsi="Arial"/>
          <w:szCs w:val="24"/>
        </w:rPr>
        <w:t>procedure’ which</w:t>
      </w:r>
      <w:proofErr w:type="gramEnd"/>
      <w:r w:rsidRPr="00AA1B2B">
        <w:rPr>
          <w:rFonts w:ascii="Arial" w:hAnsi="Arial"/>
          <w:szCs w:val="24"/>
        </w:rPr>
        <w:t xml:space="preserve"> is set out in paragraph 5 of Schedule 7 to the European Union (Withdrawal) Act 2018. In accordance with this procedure, the 2019 Regulations may be made without a draft of the instrument being laid before, and approved by a resolution of, each House of Parliament, provided a declaration is made by the relevant Minister that as a result of urgency, it is necessary to make the regulations without a draft being laid and approved. </w:t>
      </w:r>
    </w:p>
    <w:sectPr w:rsidR="008D4200" w:rsidRPr="008D4200" w:rsidSect="008E4DE4">
      <w:footerReference w:type="even" r:id="rId13"/>
      <w:footerReference w:type="default" r:id="rId14"/>
      <w:headerReference w:type="first" r:id="rId15"/>
      <w:footerReference w:type="first" r:id="rId16"/>
      <w:pgSz w:w="11906" w:h="16838" w:code="9"/>
      <w:pgMar w:top="3090" w:right="991"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479" w14:textId="77777777" w:rsidR="000755A9" w:rsidRDefault="000755A9">
      <w:r>
        <w:separator/>
      </w:r>
    </w:p>
  </w:endnote>
  <w:endnote w:type="continuationSeparator" w:id="0">
    <w:p w14:paraId="30155255" w14:textId="77777777" w:rsidR="000755A9" w:rsidRDefault="000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767BF"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613FE13"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44C4" w14:textId="12C05D7C"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990">
      <w:rPr>
        <w:rStyle w:val="PageNumber"/>
        <w:noProof/>
      </w:rPr>
      <w:t>2</w:t>
    </w:r>
    <w:r>
      <w:rPr>
        <w:rStyle w:val="PageNumber"/>
      </w:rPr>
      <w:fldChar w:fldCharType="end"/>
    </w:r>
  </w:p>
  <w:p w14:paraId="7486F6A1"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E3108" w14:textId="29DE7879"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47990">
      <w:rPr>
        <w:rStyle w:val="PageNumber"/>
        <w:rFonts w:ascii="Arial" w:hAnsi="Arial" w:cs="Arial"/>
        <w:noProof/>
        <w:sz w:val="24"/>
        <w:szCs w:val="24"/>
      </w:rPr>
      <w:t>1</w:t>
    </w:r>
    <w:r w:rsidRPr="005D2A41">
      <w:rPr>
        <w:rStyle w:val="PageNumber"/>
        <w:rFonts w:ascii="Arial" w:hAnsi="Arial" w:cs="Arial"/>
        <w:sz w:val="24"/>
        <w:szCs w:val="24"/>
      </w:rPr>
      <w:fldChar w:fldCharType="end"/>
    </w:r>
  </w:p>
  <w:p w14:paraId="73EBD7A5"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9783B" w14:textId="77777777" w:rsidR="000755A9" w:rsidRDefault="000755A9">
      <w:r>
        <w:separator/>
      </w:r>
    </w:p>
  </w:footnote>
  <w:footnote w:type="continuationSeparator" w:id="0">
    <w:p w14:paraId="7448CAAD" w14:textId="77777777" w:rsidR="000755A9" w:rsidRDefault="000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FBBAB" w14:textId="77777777" w:rsidR="0057543A" w:rsidRDefault="0057543A">
    <w:r>
      <w:rPr>
        <w:noProof/>
        <w:lang w:eastAsia="en-GB"/>
      </w:rPr>
      <w:drawing>
        <wp:anchor distT="0" distB="0" distL="114300" distR="114300" simplePos="0" relativeHeight="251657728" behindDoc="1" locked="0" layoutInCell="1" allowOverlap="1" wp14:anchorId="6BFFAE64" wp14:editId="4AD23215">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103F4E97" w14:textId="77777777" w:rsidR="0057543A" w:rsidRDefault="0057543A">
    <w:pPr>
      <w:pStyle w:val="Header"/>
    </w:pPr>
  </w:p>
  <w:p w14:paraId="67B6A48F"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7FF5"/>
    <w:multiLevelType w:val="hybridMultilevel"/>
    <w:tmpl w:val="8EA4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50F20"/>
    <w:multiLevelType w:val="hybridMultilevel"/>
    <w:tmpl w:val="AC06D868"/>
    <w:lvl w:ilvl="0" w:tplc="E7927C94">
      <w:start w:val="1"/>
      <w:numFmt w:val="bullet"/>
      <w:pStyle w:val="EMLevel1Bullet"/>
      <w:lvlText w:val=""/>
      <w:lvlJc w:val="left"/>
      <w:pPr>
        <w:tabs>
          <w:tab w:val="num" w:pos="720"/>
        </w:tabs>
        <w:ind w:left="720" w:hanging="360"/>
      </w:pPr>
      <w:rPr>
        <w:rFonts w:ascii="Symbol" w:hAnsi="Symbol" w:hint="default"/>
        <w:sz w:val="24"/>
        <w:szCs w:val="24"/>
      </w:rPr>
    </w:lvl>
    <w:lvl w:ilvl="1" w:tplc="08090001">
      <w:start w:val="1"/>
      <w:numFmt w:val="bullet"/>
      <w:lvlText w:val=""/>
      <w:lvlJc w:val="left"/>
      <w:pPr>
        <w:tabs>
          <w:tab w:val="num" w:pos="1440"/>
        </w:tabs>
        <w:ind w:left="1440" w:hanging="360"/>
      </w:pPr>
      <w:rPr>
        <w:rFonts w:ascii="Symbol" w:hAnsi="Symbol" w:hint="default"/>
      </w:rPr>
    </w:lvl>
    <w:lvl w:ilvl="2" w:tplc="B770D372">
      <w:start w:val="1"/>
      <w:numFmt w:val="bullet"/>
      <w:lvlText w:val=""/>
      <w:lvlJc w:val="left"/>
      <w:pPr>
        <w:tabs>
          <w:tab w:val="num" w:pos="2160"/>
        </w:tabs>
        <w:ind w:left="2160" w:hanging="360"/>
      </w:pPr>
      <w:rPr>
        <w:rFonts w:ascii="Symbol" w:hAnsi="Symbol" w:hint="default"/>
        <w:sz w:val="24"/>
        <w:szCs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C3422"/>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467D55"/>
    <w:multiLevelType w:val="hybridMultilevel"/>
    <w:tmpl w:val="D06E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D7268"/>
    <w:multiLevelType w:val="hybridMultilevel"/>
    <w:tmpl w:val="6FDE06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265A1E"/>
    <w:multiLevelType w:val="hybridMultilevel"/>
    <w:tmpl w:val="1556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B570A"/>
    <w:multiLevelType w:val="hybridMultilevel"/>
    <w:tmpl w:val="34F2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9522DEA"/>
    <w:multiLevelType w:val="hybridMultilevel"/>
    <w:tmpl w:val="6CD4707E"/>
    <w:lvl w:ilvl="0" w:tplc="F50A3454">
      <w:start w:val="1"/>
      <w:numFmt w:val="lowerLetter"/>
      <w:lvlText w:val="%1)"/>
      <w:lvlJc w:val="left"/>
      <w:pPr>
        <w:ind w:left="1080" w:hanging="360"/>
      </w:pPr>
      <w:rPr>
        <w:rFonts w:ascii="Arial" w:eastAsia="Times New Roman" w:hAnsi="Arial" w:cs="Arial" w:hint="default"/>
        <w:b w:val="0"/>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B45764"/>
    <w:multiLevelType w:val="hybridMultilevel"/>
    <w:tmpl w:val="D40095D8"/>
    <w:lvl w:ilvl="0" w:tplc="00A2BB2E">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A32CB7"/>
    <w:multiLevelType w:val="hybridMultilevel"/>
    <w:tmpl w:val="2410F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3202D5"/>
    <w:multiLevelType w:val="hybridMultilevel"/>
    <w:tmpl w:val="936E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62FE024C"/>
    <w:multiLevelType w:val="hybridMultilevel"/>
    <w:tmpl w:val="779E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D7EE5"/>
    <w:multiLevelType w:val="hybridMultilevel"/>
    <w:tmpl w:val="51E07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1F1C8E"/>
    <w:multiLevelType w:val="hybridMultilevel"/>
    <w:tmpl w:val="55C49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541035"/>
    <w:multiLevelType w:val="hybridMultilevel"/>
    <w:tmpl w:val="F24A8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8D47BB"/>
    <w:multiLevelType w:val="hybridMultilevel"/>
    <w:tmpl w:val="F7BA2CB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2D2E0C"/>
    <w:multiLevelType w:val="hybridMultilevel"/>
    <w:tmpl w:val="3E64F060"/>
    <w:lvl w:ilvl="0" w:tplc="710E94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5"/>
  </w:num>
  <w:num w:numId="2">
    <w:abstractNumId w:val="10"/>
  </w:num>
  <w:num w:numId="3">
    <w:abstractNumId w:val="8"/>
  </w:num>
  <w:num w:numId="4">
    <w:abstractNumId w:val="4"/>
  </w:num>
  <w:num w:numId="5">
    <w:abstractNumId w:val="18"/>
  </w:num>
  <w:num w:numId="6">
    <w:abstractNumId w:val="7"/>
  </w:num>
  <w:num w:numId="7">
    <w:abstractNumId w:val="3"/>
  </w:num>
  <w:num w:numId="8">
    <w:abstractNumId w:val="15"/>
  </w:num>
  <w:num w:numId="9">
    <w:abstractNumId w:val="9"/>
  </w:num>
  <w:num w:numId="10">
    <w:abstractNumId w:val="13"/>
  </w:num>
  <w:num w:numId="11">
    <w:abstractNumId w:val="2"/>
  </w:num>
  <w:num w:numId="12">
    <w:abstractNumId w:val="16"/>
  </w:num>
  <w:num w:numId="13">
    <w:abstractNumId w:val="12"/>
  </w:num>
  <w:num w:numId="14">
    <w:abstractNumId w:val="19"/>
  </w:num>
  <w:num w:numId="15">
    <w:abstractNumId w:val="11"/>
  </w:num>
  <w:num w:numId="16">
    <w:abstractNumId w:val="14"/>
  </w:num>
  <w:num w:numId="17">
    <w:abstractNumId w:val="1"/>
  </w:num>
  <w:num w:numId="18">
    <w:abstractNumId w:val="6"/>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5661D"/>
    <w:rsid w:val="000755A9"/>
    <w:rsid w:val="00082B81"/>
    <w:rsid w:val="00090C3D"/>
    <w:rsid w:val="00097118"/>
    <w:rsid w:val="000C3A52"/>
    <w:rsid w:val="000C53DB"/>
    <w:rsid w:val="000C5E9B"/>
    <w:rsid w:val="00134918"/>
    <w:rsid w:val="001460B1"/>
    <w:rsid w:val="00164CB6"/>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70C08"/>
    <w:rsid w:val="006814BD"/>
    <w:rsid w:val="0069133F"/>
    <w:rsid w:val="006B340E"/>
    <w:rsid w:val="006B461D"/>
    <w:rsid w:val="006E0A2C"/>
    <w:rsid w:val="00703993"/>
    <w:rsid w:val="007259F5"/>
    <w:rsid w:val="0073380E"/>
    <w:rsid w:val="00743B79"/>
    <w:rsid w:val="007523BC"/>
    <w:rsid w:val="00752C48"/>
    <w:rsid w:val="007A05FB"/>
    <w:rsid w:val="007A7BEC"/>
    <w:rsid w:val="007B5260"/>
    <w:rsid w:val="007C24E7"/>
    <w:rsid w:val="007C7885"/>
    <w:rsid w:val="007D1402"/>
    <w:rsid w:val="007F5E64"/>
    <w:rsid w:val="00800FA0"/>
    <w:rsid w:val="00812370"/>
    <w:rsid w:val="0082411A"/>
    <w:rsid w:val="00841628"/>
    <w:rsid w:val="00846160"/>
    <w:rsid w:val="00877BD2"/>
    <w:rsid w:val="008B7927"/>
    <w:rsid w:val="008D1E0B"/>
    <w:rsid w:val="008D4200"/>
    <w:rsid w:val="008E4DE4"/>
    <w:rsid w:val="008E54AE"/>
    <w:rsid w:val="008F0CC6"/>
    <w:rsid w:val="008F789E"/>
    <w:rsid w:val="00905771"/>
    <w:rsid w:val="00953A46"/>
    <w:rsid w:val="00967473"/>
    <w:rsid w:val="00973090"/>
    <w:rsid w:val="00995EEC"/>
    <w:rsid w:val="009D26D8"/>
    <w:rsid w:val="009E4974"/>
    <w:rsid w:val="009F06C3"/>
    <w:rsid w:val="00A1479F"/>
    <w:rsid w:val="00A204C9"/>
    <w:rsid w:val="00A23742"/>
    <w:rsid w:val="00A3247B"/>
    <w:rsid w:val="00A614E7"/>
    <w:rsid w:val="00A6421F"/>
    <w:rsid w:val="00A72CF3"/>
    <w:rsid w:val="00A82A45"/>
    <w:rsid w:val="00A845A9"/>
    <w:rsid w:val="00A853BC"/>
    <w:rsid w:val="00A86958"/>
    <w:rsid w:val="00AA1B2B"/>
    <w:rsid w:val="00AA5651"/>
    <w:rsid w:val="00AA5848"/>
    <w:rsid w:val="00AA7750"/>
    <w:rsid w:val="00AC2688"/>
    <w:rsid w:val="00AD65F1"/>
    <w:rsid w:val="00AE064D"/>
    <w:rsid w:val="00AF056B"/>
    <w:rsid w:val="00B049B1"/>
    <w:rsid w:val="00B239BA"/>
    <w:rsid w:val="00B468BB"/>
    <w:rsid w:val="00B81F17"/>
    <w:rsid w:val="00C178EA"/>
    <w:rsid w:val="00C43B4A"/>
    <w:rsid w:val="00C468D6"/>
    <w:rsid w:val="00C64FA5"/>
    <w:rsid w:val="00C84A12"/>
    <w:rsid w:val="00C967A5"/>
    <w:rsid w:val="00CF3DC5"/>
    <w:rsid w:val="00D017E2"/>
    <w:rsid w:val="00D16D97"/>
    <w:rsid w:val="00D27F42"/>
    <w:rsid w:val="00D47990"/>
    <w:rsid w:val="00D84713"/>
    <w:rsid w:val="00DD4B82"/>
    <w:rsid w:val="00DD5313"/>
    <w:rsid w:val="00E1556F"/>
    <w:rsid w:val="00E3419E"/>
    <w:rsid w:val="00E40EB1"/>
    <w:rsid w:val="00E47B1A"/>
    <w:rsid w:val="00E631B1"/>
    <w:rsid w:val="00EA5290"/>
    <w:rsid w:val="00EB248F"/>
    <w:rsid w:val="00EB5F93"/>
    <w:rsid w:val="00EC0568"/>
    <w:rsid w:val="00EE721A"/>
    <w:rsid w:val="00F0272E"/>
    <w:rsid w:val="00F2438B"/>
    <w:rsid w:val="00F548A5"/>
    <w:rsid w:val="00F81C33"/>
    <w:rsid w:val="00F923C2"/>
    <w:rsid w:val="00F97613"/>
    <w:rsid w:val="00FF0966"/>
    <w:rsid w:val="00FF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A01062F"/>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8E54AE"/>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54AE"/>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8E54AE"/>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8E54AE"/>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8E54AE"/>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8E54AE"/>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8E54AE"/>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7A7BEC"/>
    <w:rPr>
      <w:rFonts w:ascii="TradeGothic" w:hAnsi="TradeGothic"/>
      <w:sz w:val="22"/>
      <w:lang w:eastAsia="en-US"/>
    </w:rPr>
  </w:style>
  <w:style w:type="paragraph" w:customStyle="1" w:styleId="Default">
    <w:name w:val="Default"/>
    <w:rsid w:val="007A7BEC"/>
    <w:pPr>
      <w:autoSpaceDE w:val="0"/>
      <w:autoSpaceDN w:val="0"/>
      <w:adjustRightInd w:val="0"/>
    </w:pPr>
    <w:rPr>
      <w:rFonts w:eastAsiaTheme="minorHAnsi"/>
      <w:color w:val="000000"/>
      <w:sz w:val="24"/>
      <w:szCs w:val="24"/>
      <w:lang w:eastAsia="en-US"/>
    </w:rPr>
  </w:style>
  <w:style w:type="character" w:customStyle="1" w:styleId="Heading2Char">
    <w:name w:val="Heading 2 Char"/>
    <w:basedOn w:val="DefaultParagraphFont"/>
    <w:link w:val="Heading2"/>
    <w:rsid w:val="008E54AE"/>
    <w:rPr>
      <w:rFonts w:ascii="Arial" w:hAnsi="Arial" w:cs="Arial"/>
      <w:b/>
      <w:bCs/>
      <w:i/>
      <w:iCs/>
      <w:sz w:val="28"/>
      <w:szCs w:val="28"/>
      <w:lang w:eastAsia="en-US"/>
    </w:rPr>
  </w:style>
  <w:style w:type="character" w:customStyle="1" w:styleId="Heading4Char">
    <w:name w:val="Heading 4 Char"/>
    <w:basedOn w:val="DefaultParagraphFont"/>
    <w:link w:val="Heading4"/>
    <w:rsid w:val="008E54AE"/>
    <w:rPr>
      <w:b/>
      <w:bCs/>
      <w:sz w:val="28"/>
      <w:szCs w:val="28"/>
      <w:lang w:eastAsia="en-US"/>
    </w:rPr>
  </w:style>
  <w:style w:type="character" w:customStyle="1" w:styleId="Heading5Char">
    <w:name w:val="Heading 5 Char"/>
    <w:basedOn w:val="DefaultParagraphFont"/>
    <w:link w:val="Heading5"/>
    <w:rsid w:val="008E54AE"/>
    <w:rPr>
      <w:b/>
      <w:bCs/>
      <w:i/>
      <w:iCs/>
      <w:sz w:val="26"/>
      <w:szCs w:val="26"/>
      <w:lang w:eastAsia="en-US"/>
    </w:rPr>
  </w:style>
  <w:style w:type="character" w:customStyle="1" w:styleId="Heading6Char">
    <w:name w:val="Heading 6 Char"/>
    <w:basedOn w:val="DefaultParagraphFont"/>
    <w:link w:val="Heading6"/>
    <w:rsid w:val="008E54AE"/>
    <w:rPr>
      <w:b/>
      <w:bCs/>
      <w:sz w:val="22"/>
      <w:szCs w:val="22"/>
      <w:lang w:eastAsia="en-US"/>
    </w:rPr>
  </w:style>
  <w:style w:type="character" w:customStyle="1" w:styleId="Heading7Char">
    <w:name w:val="Heading 7 Char"/>
    <w:basedOn w:val="DefaultParagraphFont"/>
    <w:link w:val="Heading7"/>
    <w:rsid w:val="008E54AE"/>
    <w:rPr>
      <w:sz w:val="24"/>
      <w:szCs w:val="24"/>
      <w:lang w:eastAsia="en-US"/>
    </w:rPr>
  </w:style>
  <w:style w:type="character" w:customStyle="1" w:styleId="Heading8Char">
    <w:name w:val="Heading 8 Char"/>
    <w:basedOn w:val="DefaultParagraphFont"/>
    <w:link w:val="Heading8"/>
    <w:rsid w:val="008E54AE"/>
    <w:rPr>
      <w:i/>
      <w:iCs/>
      <w:sz w:val="24"/>
      <w:szCs w:val="24"/>
      <w:lang w:eastAsia="en-US"/>
    </w:rPr>
  </w:style>
  <w:style w:type="character" w:customStyle="1" w:styleId="Heading9Char">
    <w:name w:val="Heading 9 Char"/>
    <w:basedOn w:val="DefaultParagraphFont"/>
    <w:link w:val="Heading9"/>
    <w:rsid w:val="008E54AE"/>
    <w:rPr>
      <w:rFonts w:ascii="Arial" w:hAnsi="Arial" w:cs="Arial"/>
      <w:sz w:val="22"/>
      <w:szCs w:val="22"/>
      <w:lang w:eastAsia="en-US"/>
    </w:rPr>
  </w:style>
  <w:style w:type="paragraph" w:customStyle="1" w:styleId="EMSectionTitle">
    <w:name w:val="EM Section Title"/>
    <w:basedOn w:val="Heading1"/>
    <w:next w:val="EMLevel1Paragraph"/>
    <w:rsid w:val="008E54AE"/>
    <w:pPr>
      <w:tabs>
        <w:tab w:val="num" w:pos="360"/>
        <w:tab w:val="num" w:pos="709"/>
      </w:tabs>
      <w:spacing w:before="240"/>
      <w:ind w:left="709" w:hanging="709"/>
    </w:pPr>
    <w:rPr>
      <w:rFonts w:ascii="Times New Roman" w:hAnsi="Times New Roman" w:cs="Arial"/>
      <w:bCs/>
      <w:kern w:val="32"/>
      <w:szCs w:val="32"/>
      <w:lang w:eastAsia="en-US"/>
    </w:rPr>
  </w:style>
  <w:style w:type="paragraph" w:customStyle="1" w:styleId="EMLevel1Paragraph">
    <w:name w:val="EM Level 1 Paragraph"/>
    <w:basedOn w:val="Heading2"/>
    <w:qFormat/>
    <w:rsid w:val="008E54AE"/>
    <w:pPr>
      <w:keepNext w:val="0"/>
      <w:numPr>
        <w:ilvl w:val="1"/>
      </w:numPr>
      <w:tabs>
        <w:tab w:val="num" w:pos="696"/>
      </w:tabs>
      <w:spacing w:before="120"/>
      <w:ind w:left="720" w:hanging="720"/>
    </w:pPr>
    <w:rPr>
      <w:rFonts w:ascii="Times New Roman" w:hAnsi="Times New Roman"/>
      <w:b w:val="0"/>
      <w:bCs w:val="0"/>
      <w:i w:val="0"/>
      <w:iCs w:val="0"/>
      <w:sz w:val="24"/>
    </w:rPr>
  </w:style>
  <w:style w:type="paragraph" w:customStyle="1" w:styleId="T1">
    <w:name w:val="T1"/>
    <w:basedOn w:val="Normal"/>
    <w:rsid w:val="00AC2688"/>
    <w:pPr>
      <w:spacing w:before="160" w:line="220" w:lineRule="atLeast"/>
      <w:jc w:val="both"/>
    </w:pPr>
    <w:rPr>
      <w:rFonts w:ascii="Times New Roman" w:hAnsi="Times New Roman"/>
      <w:sz w:val="21"/>
    </w:rPr>
  </w:style>
  <w:style w:type="paragraph" w:customStyle="1" w:styleId="H1">
    <w:name w:val="H1"/>
    <w:basedOn w:val="Normal"/>
    <w:next w:val="Normal"/>
    <w:rsid w:val="00AC2688"/>
    <w:pPr>
      <w:keepNext/>
      <w:spacing w:before="320" w:line="220" w:lineRule="atLeast"/>
      <w:jc w:val="both"/>
    </w:pPr>
    <w:rPr>
      <w:rFonts w:ascii="Times New Roman" w:hAnsi="Times New Roman"/>
      <w:b/>
      <w:sz w:val="21"/>
    </w:rPr>
  </w:style>
  <w:style w:type="paragraph" w:customStyle="1" w:styleId="N1">
    <w:name w:val="N1"/>
    <w:basedOn w:val="Normal"/>
    <w:rsid w:val="00AC2688"/>
    <w:pPr>
      <w:numPr>
        <w:numId w:val="10"/>
      </w:numPr>
      <w:spacing w:before="160" w:line="220" w:lineRule="atLeast"/>
      <w:jc w:val="both"/>
    </w:pPr>
    <w:rPr>
      <w:rFonts w:ascii="Times New Roman" w:hAnsi="Times New Roman"/>
      <w:sz w:val="21"/>
    </w:rPr>
  </w:style>
  <w:style w:type="paragraph" w:customStyle="1" w:styleId="N2">
    <w:name w:val="N2"/>
    <w:basedOn w:val="N1"/>
    <w:rsid w:val="00AC2688"/>
    <w:pPr>
      <w:numPr>
        <w:ilvl w:val="1"/>
      </w:numPr>
      <w:spacing w:before="80"/>
    </w:pPr>
  </w:style>
  <w:style w:type="paragraph" w:customStyle="1" w:styleId="N3">
    <w:name w:val="N3"/>
    <w:basedOn w:val="N2"/>
    <w:rsid w:val="00AC2688"/>
    <w:pPr>
      <w:numPr>
        <w:ilvl w:val="2"/>
      </w:numPr>
    </w:pPr>
  </w:style>
  <w:style w:type="paragraph" w:customStyle="1" w:styleId="N4">
    <w:name w:val="N4"/>
    <w:basedOn w:val="N3"/>
    <w:rsid w:val="00AC2688"/>
    <w:pPr>
      <w:numPr>
        <w:ilvl w:val="3"/>
      </w:numPr>
    </w:pPr>
  </w:style>
  <w:style w:type="paragraph" w:customStyle="1" w:styleId="N5">
    <w:name w:val="N5"/>
    <w:basedOn w:val="N4"/>
    <w:rsid w:val="00AC2688"/>
    <w:pPr>
      <w:numPr>
        <w:ilvl w:val="4"/>
      </w:numPr>
    </w:pPr>
  </w:style>
  <w:style w:type="paragraph" w:styleId="TOC9">
    <w:name w:val="toc 9"/>
    <w:basedOn w:val="Normal"/>
    <w:next w:val="Normal"/>
    <w:rsid w:val="008D4200"/>
    <w:pPr>
      <w:keepLines/>
      <w:tabs>
        <w:tab w:val="left" w:pos="576"/>
        <w:tab w:val="right" w:pos="8280"/>
      </w:tabs>
      <w:spacing w:after="40"/>
      <w:ind w:left="576" w:right="720" w:hanging="576"/>
      <w:jc w:val="both"/>
    </w:pPr>
    <w:rPr>
      <w:rFonts w:ascii="Times New Roman" w:hAnsi="Times New Roman"/>
      <w:sz w:val="21"/>
    </w:rPr>
  </w:style>
  <w:style w:type="paragraph" w:customStyle="1" w:styleId="EMLevel1Bullet">
    <w:name w:val="EM Level 1 Bullet"/>
    <w:basedOn w:val="Normal"/>
    <w:rsid w:val="00E40EB1"/>
    <w:pPr>
      <w:numPr>
        <w:numId w:val="17"/>
      </w:numPr>
      <w:spacing w:before="60" w:after="60"/>
      <w:ind w:left="1440" w:hanging="533"/>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beta.parliament.uk/work-packages/HdaKby6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2018-10-25T16:04:54Z</value>
    </field>
    <field name="Objective-IsApproved">
      <value order="0">false</value>
    </field>
    <field name="Objective-IsPublished">
      <value order="0">true</value>
    </field>
    <field name="Objective-DatePublished">
      <value order="0">2019-02-05T09:39:30Z</value>
    </field>
    <field name="Objective-ModificationStamp">
      <value order="0">2019-02-05T09:39:30Z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2018-10-25T22:59:59Z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2019-10-15T23:00:00+00:00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F7EF229-B87F-47ED-A07D-565D89210574}">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www.w3.org/XML/1998/namespace"/>
    <ds:schemaRef ds:uri="fad5256b-9034-4098-a484-2992d39a629e"/>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BDE176B-BCE8-4E14-8631-F87494E0A5DE}">
  <ds:schemaRefs>
    <ds:schemaRef ds:uri="http://schemas.microsoft.com/sharepoint/v3/contenttype/forms"/>
  </ds:schemaRefs>
</ds:datastoreItem>
</file>

<file path=customXml/itemProps4.xml><?xml version="1.0" encoding="utf-8"?>
<ds:datastoreItem xmlns:ds="http://schemas.openxmlformats.org/officeDocument/2006/customXml" ds:itemID="{0E560AD7-5B18-4BCE-BFD7-0BDEC36E5352}"/>
</file>

<file path=customXml/itemProps5.xml><?xml version="1.0" encoding="utf-8"?>
<ds:datastoreItem xmlns:ds="http://schemas.openxmlformats.org/officeDocument/2006/customXml" ds:itemID="{1AEC2BDF-EC6C-4109-9190-A8B2F41A1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3333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Persistent Organic Pollutants (Amendment) (EU Exit) Regulations 2019</dc:title>
  <dc:creator>burnsc</dc:creator>
  <cp:lastModifiedBy>Oxenham, James (OFM - Cabinet Division)</cp:lastModifiedBy>
  <cp:revision>2</cp:revision>
  <cp:lastPrinted>2011-05-27T10:19:00Z</cp:lastPrinted>
  <dcterms:created xsi:type="dcterms:W3CDTF">2019-10-16T10:16:00Z</dcterms:created>
  <dcterms:modified xsi:type="dcterms:W3CDTF">2019-10-16T10:16:00Z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2018-10-25T16:04:59Z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2019-02-05T09:39:30Z</vt:filetime>
  </property>
  <property fmtid="{D5CDD505-2E9C-101B-9397-08002B2CF9AE}" pid="10" name="Objective-ModificationStamp">
    <vt:filetime>2019-02-05T09:39:30Z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2018-10-24T23:00:00Z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