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1A909" w14:textId="77777777" w:rsidR="001A39E2" w:rsidRDefault="001A39E2" w:rsidP="001A39E2">
      <w:pPr>
        <w:jc w:val="right"/>
        <w:rPr>
          <w:b/>
        </w:rPr>
      </w:pPr>
    </w:p>
    <w:p w14:paraId="5D1E84D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3647C5B" wp14:editId="1103628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B509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DB7D1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D5A58F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E13900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tbl>
      <w:tblPr>
        <w:tblW w:w="0" w:type="auto"/>
        <w:tblLayout w:type="fixed"/>
        <w:tblLook w:val="0000" w:firstRow="0" w:lastRow="0" w:firstColumn="0" w:lastColumn="0" w:noHBand="0" w:noVBand="0"/>
      </w:tblPr>
      <w:tblGrid>
        <w:gridCol w:w="1383"/>
        <w:gridCol w:w="7656"/>
      </w:tblGrid>
      <w:tr w:rsidR="00EA5290" w:rsidRPr="00DF6C1C" w14:paraId="13F8664A" w14:textId="77777777" w:rsidTr="00B049B1">
        <w:tc>
          <w:tcPr>
            <w:tcW w:w="1383" w:type="dxa"/>
            <w:tcBorders>
              <w:top w:val="nil"/>
              <w:left w:val="nil"/>
              <w:bottom w:val="nil"/>
              <w:right w:val="nil"/>
            </w:tcBorders>
            <w:vAlign w:val="center"/>
          </w:tcPr>
          <w:p w14:paraId="3E496E08" w14:textId="77777777" w:rsidR="007C5D2E" w:rsidRDefault="007C5D2E" w:rsidP="00B049B1">
            <w:pPr>
              <w:spacing w:before="120" w:after="120"/>
              <w:rPr>
                <w:rFonts w:ascii="Arial" w:hAnsi="Arial" w:cs="Arial"/>
                <w:b/>
                <w:bCs/>
                <w:sz w:val="24"/>
                <w:szCs w:val="24"/>
              </w:rPr>
            </w:pPr>
          </w:p>
          <w:p w14:paraId="5AC22C1F" w14:textId="2F49D3A7"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TITLE</w:t>
            </w:r>
            <w:r w:rsidR="00EA5290" w:rsidRPr="00DF6C1C">
              <w:rPr>
                <w:rFonts w:ascii="Arial" w:hAnsi="Arial" w:cs="Arial"/>
                <w:b/>
                <w:bCs/>
                <w:sz w:val="24"/>
                <w:szCs w:val="24"/>
              </w:rPr>
              <w:t xml:space="preserve"> </w:t>
            </w:r>
          </w:p>
        </w:tc>
        <w:tc>
          <w:tcPr>
            <w:tcW w:w="7656" w:type="dxa"/>
            <w:tcBorders>
              <w:top w:val="nil"/>
              <w:left w:val="nil"/>
              <w:bottom w:val="nil"/>
              <w:right w:val="nil"/>
            </w:tcBorders>
            <w:vAlign w:val="center"/>
          </w:tcPr>
          <w:p w14:paraId="66237B19" w14:textId="2899B1B0" w:rsidR="00EA5290" w:rsidRDefault="004B04CF" w:rsidP="00B049B1">
            <w:pPr>
              <w:spacing w:before="120" w:after="120"/>
              <w:rPr>
                <w:rFonts w:ascii="Arial" w:hAnsi="Arial" w:cs="Arial"/>
                <w:b/>
                <w:bCs/>
                <w:sz w:val="24"/>
                <w:szCs w:val="24"/>
              </w:rPr>
            </w:pPr>
            <w:r w:rsidRPr="00644F65">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49E7F371" wp14:editId="5C0663D8">
                      <wp:simplePos x="0" y="0"/>
                      <wp:positionH relativeFrom="column">
                        <wp:posOffset>-937895</wp:posOffset>
                      </wp:positionH>
                      <wp:positionV relativeFrom="paragraph">
                        <wp:posOffset>265430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77F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20.9pt" to="34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" o:allowincell="f" strokecolor="red" strokeweight="1.5pt"/>
                  </w:pict>
                </mc:Fallback>
              </mc:AlternateContent>
            </w:r>
          </w:p>
          <w:p w14:paraId="7A36661D" w14:textId="34C860C5" w:rsidR="00720DC4" w:rsidRPr="00A45DE8" w:rsidRDefault="007C5D2E" w:rsidP="00BA7083">
            <w:pPr>
              <w:rPr>
                <w:rFonts w:ascii="Arial" w:hAnsi="Arial" w:cs="Arial"/>
                <w:b/>
                <w:sz w:val="24"/>
                <w:szCs w:val="24"/>
              </w:rPr>
            </w:pPr>
            <w:bookmarkStart w:id="0" w:name="_GoBack"/>
            <w:r w:rsidRPr="007C5D2E">
              <w:rPr>
                <w:rFonts w:ascii="Arial" w:eastAsiaTheme="minorHAnsi" w:hAnsi="Arial" w:cs="Arial"/>
                <w:b/>
                <w:sz w:val="24"/>
                <w:szCs w:val="24"/>
              </w:rPr>
              <w:t xml:space="preserve">The Market Measures (Miscellaneous Provisions) (Amendment) (EU Exit) Regulations 2019 </w:t>
            </w:r>
            <w:bookmarkEnd w:id="0"/>
          </w:p>
        </w:tc>
      </w:tr>
      <w:tr w:rsidR="00EA5290" w:rsidRPr="00DF6C1C" w14:paraId="2E8E6DF8" w14:textId="77777777" w:rsidTr="00B049B1">
        <w:tc>
          <w:tcPr>
            <w:tcW w:w="1383" w:type="dxa"/>
            <w:tcBorders>
              <w:top w:val="nil"/>
              <w:left w:val="nil"/>
              <w:bottom w:val="nil"/>
              <w:right w:val="nil"/>
            </w:tcBorders>
            <w:vAlign w:val="center"/>
          </w:tcPr>
          <w:p w14:paraId="3B78F32F" w14:textId="77777777"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DATE</w:t>
            </w:r>
            <w:r w:rsidR="00EA5290" w:rsidRPr="00DF6C1C">
              <w:rPr>
                <w:rFonts w:ascii="Arial" w:hAnsi="Arial" w:cs="Arial"/>
                <w:b/>
                <w:bCs/>
                <w:sz w:val="24"/>
                <w:szCs w:val="24"/>
              </w:rPr>
              <w:t xml:space="preserve"> </w:t>
            </w:r>
          </w:p>
        </w:tc>
        <w:tc>
          <w:tcPr>
            <w:tcW w:w="7656" w:type="dxa"/>
            <w:tcBorders>
              <w:top w:val="nil"/>
              <w:left w:val="nil"/>
              <w:bottom w:val="nil"/>
              <w:right w:val="nil"/>
            </w:tcBorders>
            <w:vAlign w:val="center"/>
          </w:tcPr>
          <w:p w14:paraId="2A1624CC" w14:textId="53BDDBB4" w:rsidR="00BA7083" w:rsidRPr="00E352B3" w:rsidRDefault="00BA4D8B" w:rsidP="00BA7083">
            <w:pPr>
              <w:spacing w:before="120" w:after="240"/>
              <w:rPr>
                <w:rFonts w:ascii="Arial" w:hAnsi="Arial" w:cs="Arial"/>
                <w:b/>
                <w:bCs/>
                <w:sz w:val="24"/>
                <w:szCs w:val="24"/>
              </w:rPr>
            </w:pPr>
            <w:r>
              <w:rPr>
                <w:rFonts w:ascii="Arial" w:hAnsi="Arial" w:cs="Arial"/>
                <w:b/>
                <w:bCs/>
                <w:sz w:val="24"/>
                <w:szCs w:val="24"/>
              </w:rPr>
              <w:t>18 February</w:t>
            </w:r>
            <w:r w:rsidR="00A45DE8">
              <w:rPr>
                <w:rFonts w:ascii="Arial" w:hAnsi="Arial" w:cs="Arial"/>
                <w:b/>
                <w:bCs/>
                <w:sz w:val="24"/>
                <w:szCs w:val="24"/>
              </w:rPr>
              <w:t xml:space="preserve"> 2019</w:t>
            </w:r>
          </w:p>
        </w:tc>
      </w:tr>
      <w:tr w:rsidR="00EA5290" w:rsidRPr="00DF6C1C" w14:paraId="54A962AE" w14:textId="77777777" w:rsidTr="00B049B1">
        <w:tc>
          <w:tcPr>
            <w:tcW w:w="1383" w:type="dxa"/>
            <w:tcBorders>
              <w:top w:val="nil"/>
              <w:left w:val="nil"/>
              <w:bottom w:val="nil"/>
              <w:right w:val="nil"/>
            </w:tcBorders>
            <w:vAlign w:val="center"/>
          </w:tcPr>
          <w:p w14:paraId="291D7DFD" w14:textId="77777777"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BY</w:t>
            </w:r>
          </w:p>
        </w:tc>
        <w:tc>
          <w:tcPr>
            <w:tcW w:w="7656" w:type="dxa"/>
            <w:tcBorders>
              <w:top w:val="nil"/>
              <w:left w:val="nil"/>
              <w:bottom w:val="nil"/>
              <w:right w:val="nil"/>
            </w:tcBorders>
            <w:vAlign w:val="center"/>
          </w:tcPr>
          <w:p w14:paraId="6B7723E8" w14:textId="77777777" w:rsidR="00EA5290" w:rsidRPr="00E352B3" w:rsidRDefault="00A45DE8"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013BA088" w14:textId="77777777" w:rsidR="00EA5290" w:rsidRPr="00644F65" w:rsidRDefault="00EA5290" w:rsidP="00EA5290">
      <w:pPr>
        <w:rPr>
          <w:rFonts w:ascii="Arial" w:hAnsi="Arial" w:cs="Arial"/>
          <w:sz w:val="24"/>
          <w:szCs w:val="24"/>
        </w:rPr>
      </w:pPr>
    </w:p>
    <w:p w14:paraId="4F34276D" w14:textId="77777777" w:rsidR="007C5D2E" w:rsidRPr="007C5D2E" w:rsidRDefault="007C5D2E" w:rsidP="007C5D2E">
      <w:pPr>
        <w:rPr>
          <w:rFonts w:ascii="Arial" w:eastAsiaTheme="minorHAnsi" w:hAnsi="Arial" w:cs="Arial"/>
          <w:b/>
          <w:sz w:val="24"/>
          <w:szCs w:val="24"/>
        </w:rPr>
      </w:pPr>
      <w:r w:rsidRPr="007C5D2E">
        <w:rPr>
          <w:rFonts w:ascii="Arial" w:eastAsiaTheme="minorHAnsi" w:hAnsi="Arial" w:cs="Arial"/>
          <w:b/>
          <w:sz w:val="24"/>
          <w:szCs w:val="24"/>
        </w:rPr>
        <w:t xml:space="preserve">The Market Measures (Miscellaneous Provisions) (Amendment) (EU Exit) Regulations 2019 </w:t>
      </w:r>
      <w:r w:rsidRPr="007C5D2E">
        <w:rPr>
          <w:rFonts w:ascii="Arial" w:hAnsi="Arial" w:cs="Arial"/>
          <w:b/>
          <w:sz w:val="24"/>
          <w:szCs w:val="24"/>
        </w:rPr>
        <w:t>(“2019 Regulations”)</w:t>
      </w:r>
    </w:p>
    <w:p w14:paraId="1ED960F5" w14:textId="77777777" w:rsidR="007C5D2E" w:rsidRPr="007C5D2E" w:rsidRDefault="007C5D2E" w:rsidP="007C5D2E">
      <w:pPr>
        <w:jc w:val="both"/>
        <w:rPr>
          <w:rFonts w:ascii="Arial" w:eastAsiaTheme="minorHAnsi" w:hAnsi="Arial" w:cs="Arial"/>
          <w:b/>
          <w:sz w:val="24"/>
          <w:szCs w:val="24"/>
          <w:u w:val="single"/>
        </w:rPr>
      </w:pPr>
    </w:p>
    <w:p w14:paraId="1469611C" w14:textId="77777777" w:rsidR="007C5D2E" w:rsidRPr="007C5D2E" w:rsidRDefault="007C5D2E" w:rsidP="007C5D2E">
      <w:pPr>
        <w:jc w:val="both"/>
        <w:rPr>
          <w:rFonts w:ascii="Arial" w:eastAsiaTheme="minorHAnsi" w:hAnsi="Arial" w:cs="Arial"/>
          <w:b/>
          <w:sz w:val="24"/>
          <w:szCs w:val="24"/>
        </w:rPr>
      </w:pPr>
      <w:r w:rsidRPr="007C5D2E">
        <w:rPr>
          <w:rFonts w:ascii="Arial" w:eastAsiaTheme="minorHAnsi" w:hAnsi="Arial" w:cs="Arial"/>
          <w:b/>
          <w:sz w:val="24"/>
          <w:szCs w:val="24"/>
        </w:rPr>
        <w:t>The law which is being amended</w:t>
      </w:r>
    </w:p>
    <w:p w14:paraId="29BF3B4D" w14:textId="77777777" w:rsidR="007C5D2E" w:rsidRPr="007C5D2E" w:rsidRDefault="007C5D2E" w:rsidP="007C5D2E">
      <w:pPr>
        <w:jc w:val="both"/>
        <w:rPr>
          <w:rFonts w:ascii="Arial" w:eastAsiaTheme="minorHAnsi" w:hAnsi="Arial" w:cs="Arial"/>
          <w:b/>
          <w:sz w:val="24"/>
          <w:szCs w:val="24"/>
          <w:u w:val="single"/>
        </w:rPr>
      </w:pPr>
    </w:p>
    <w:p w14:paraId="2852C16E" w14:textId="77777777" w:rsidR="007C5D2E" w:rsidRPr="007C5D2E" w:rsidRDefault="007C5D2E" w:rsidP="007C5D2E">
      <w:pPr>
        <w:tabs>
          <w:tab w:val="left" w:pos="709"/>
        </w:tabs>
        <w:jc w:val="both"/>
        <w:rPr>
          <w:rFonts w:ascii="Arial" w:eastAsiaTheme="minorHAnsi" w:hAnsi="Arial" w:cs="Arial"/>
          <w:sz w:val="24"/>
          <w:szCs w:val="24"/>
          <w:u w:val="single"/>
        </w:rPr>
      </w:pPr>
      <w:r w:rsidRPr="007C5D2E">
        <w:rPr>
          <w:rFonts w:ascii="Arial" w:eastAsiaTheme="minorHAnsi" w:hAnsi="Arial" w:cs="Arial"/>
          <w:sz w:val="24"/>
          <w:szCs w:val="24"/>
          <w:u w:val="single"/>
        </w:rPr>
        <w:t>Amendment of legislation applicable in relation to Wales</w:t>
      </w:r>
    </w:p>
    <w:p w14:paraId="09D3653E" w14:textId="77777777" w:rsidR="007C5D2E" w:rsidRPr="007C5D2E" w:rsidRDefault="007C5D2E" w:rsidP="007C5D2E">
      <w:pPr>
        <w:tabs>
          <w:tab w:val="left" w:pos="709"/>
        </w:tabs>
        <w:ind w:left="720"/>
        <w:contextualSpacing/>
        <w:jc w:val="both"/>
        <w:rPr>
          <w:rFonts w:ascii="Arial" w:eastAsiaTheme="minorHAnsi" w:hAnsi="Arial" w:cs="Arial"/>
          <w:color w:val="FF0000"/>
          <w:sz w:val="24"/>
          <w:szCs w:val="24"/>
          <w:u w:val="single"/>
        </w:rPr>
      </w:pPr>
    </w:p>
    <w:p w14:paraId="0DDFAB8E" w14:textId="77777777" w:rsidR="007C5D2E" w:rsidRPr="007C5D2E" w:rsidRDefault="007C5D2E" w:rsidP="007C5D2E">
      <w:pPr>
        <w:numPr>
          <w:ilvl w:val="0"/>
          <w:numId w:val="9"/>
        </w:numPr>
        <w:spacing w:after="200" w:line="276" w:lineRule="auto"/>
        <w:ind w:left="284"/>
        <w:contextualSpacing/>
        <w:outlineLvl w:val="1"/>
        <w:rPr>
          <w:rFonts w:ascii="Arial" w:eastAsiaTheme="minorHAnsi" w:hAnsi="Arial" w:cs="Arial"/>
          <w:sz w:val="24"/>
          <w:szCs w:val="24"/>
        </w:rPr>
      </w:pPr>
      <w:r w:rsidRPr="007C5D2E">
        <w:rPr>
          <w:rFonts w:ascii="Arial" w:eastAsiaTheme="minorHAnsi" w:hAnsi="Arial" w:cs="Arial"/>
          <w:sz w:val="24"/>
          <w:szCs w:val="24"/>
        </w:rPr>
        <w:t>The Hops Certification Regulations 1979</w:t>
      </w:r>
    </w:p>
    <w:p w14:paraId="58C52A9F" w14:textId="77777777" w:rsidR="007C5D2E" w:rsidRPr="007C5D2E" w:rsidRDefault="007C5D2E" w:rsidP="007C5D2E">
      <w:pPr>
        <w:spacing w:after="200"/>
        <w:ind w:left="284"/>
        <w:contextualSpacing/>
        <w:outlineLvl w:val="1"/>
        <w:rPr>
          <w:rFonts w:ascii="Arial" w:eastAsiaTheme="minorHAnsi" w:hAnsi="Arial" w:cs="Arial"/>
          <w:sz w:val="24"/>
          <w:szCs w:val="24"/>
        </w:rPr>
      </w:pPr>
    </w:p>
    <w:p w14:paraId="1F00ECE8" w14:textId="77777777" w:rsidR="007C5D2E" w:rsidRPr="007C5D2E" w:rsidRDefault="007C5D2E" w:rsidP="007C5D2E">
      <w:pPr>
        <w:numPr>
          <w:ilvl w:val="0"/>
          <w:numId w:val="9"/>
        </w:numPr>
        <w:spacing w:after="200" w:line="276" w:lineRule="auto"/>
        <w:ind w:left="284"/>
        <w:contextualSpacing/>
        <w:outlineLvl w:val="1"/>
        <w:rPr>
          <w:rFonts w:ascii="Arial" w:eastAsiaTheme="minorHAnsi" w:hAnsi="Arial" w:cs="Arial"/>
          <w:sz w:val="24"/>
          <w:szCs w:val="24"/>
        </w:rPr>
      </w:pPr>
      <w:r w:rsidRPr="007C5D2E">
        <w:rPr>
          <w:rFonts w:ascii="Arial" w:eastAsiaTheme="minorHAnsi" w:hAnsi="Arial" w:cs="Arial"/>
          <w:sz w:val="24"/>
          <w:szCs w:val="24"/>
        </w:rPr>
        <w:t>The Quality Standards for Green Bananas (England and Wales) Regulations 2012</w:t>
      </w:r>
    </w:p>
    <w:p w14:paraId="018D3D47" w14:textId="77777777" w:rsidR="007C5D2E" w:rsidRPr="007C5D2E" w:rsidRDefault="007C5D2E" w:rsidP="007C5D2E">
      <w:pPr>
        <w:spacing w:after="200"/>
        <w:ind w:left="284"/>
        <w:contextualSpacing/>
        <w:outlineLvl w:val="1"/>
        <w:rPr>
          <w:rFonts w:ascii="Arial" w:eastAsiaTheme="minorHAnsi" w:hAnsi="Arial" w:cs="Arial"/>
          <w:sz w:val="24"/>
          <w:szCs w:val="24"/>
        </w:rPr>
      </w:pPr>
    </w:p>
    <w:p w14:paraId="22747ABA" w14:textId="77777777" w:rsidR="007C5D2E" w:rsidRPr="007C5D2E" w:rsidRDefault="007C5D2E" w:rsidP="007C5D2E">
      <w:pPr>
        <w:numPr>
          <w:ilvl w:val="0"/>
          <w:numId w:val="9"/>
        </w:numPr>
        <w:spacing w:after="200" w:line="276" w:lineRule="auto"/>
        <w:ind w:left="284"/>
        <w:contextualSpacing/>
        <w:outlineLvl w:val="1"/>
        <w:rPr>
          <w:rFonts w:ascii="Arial" w:eastAsiaTheme="minorHAnsi" w:hAnsi="Arial" w:cs="Arial"/>
          <w:sz w:val="24"/>
          <w:szCs w:val="24"/>
        </w:rPr>
      </w:pPr>
      <w:r w:rsidRPr="007C5D2E">
        <w:rPr>
          <w:rFonts w:ascii="Arial" w:eastAsiaTheme="minorHAnsi" w:hAnsi="Arial" w:cs="Arial"/>
          <w:sz w:val="24"/>
          <w:szCs w:val="24"/>
        </w:rPr>
        <w:t>The Olive Oil (Marketing Standards) Regulations 2014</w:t>
      </w:r>
    </w:p>
    <w:p w14:paraId="6994F24F" w14:textId="77777777" w:rsidR="007C5D2E" w:rsidRPr="007C5D2E" w:rsidRDefault="007C5D2E" w:rsidP="007C5D2E">
      <w:pPr>
        <w:spacing w:after="200" w:line="276" w:lineRule="auto"/>
        <w:ind w:left="720"/>
        <w:contextualSpacing/>
        <w:rPr>
          <w:rFonts w:ascii="Arial" w:eastAsiaTheme="minorHAnsi" w:hAnsi="Arial" w:cs="Arial"/>
          <w:sz w:val="24"/>
          <w:szCs w:val="24"/>
        </w:rPr>
      </w:pPr>
    </w:p>
    <w:p w14:paraId="1220A3A5" w14:textId="77777777" w:rsidR="007C5D2E" w:rsidRPr="007C5D2E" w:rsidRDefault="007C5D2E" w:rsidP="007C5D2E">
      <w:pPr>
        <w:spacing w:after="200"/>
        <w:ind w:left="-76"/>
        <w:outlineLvl w:val="1"/>
        <w:rPr>
          <w:rFonts w:ascii="Arial" w:eastAsiaTheme="minorHAnsi" w:hAnsi="Arial" w:cs="Arial"/>
          <w:sz w:val="24"/>
          <w:szCs w:val="24"/>
          <w:u w:val="single"/>
        </w:rPr>
      </w:pPr>
      <w:r w:rsidRPr="007C5D2E">
        <w:rPr>
          <w:rFonts w:ascii="Arial" w:eastAsiaTheme="minorHAnsi" w:hAnsi="Arial" w:cs="Arial"/>
          <w:sz w:val="24"/>
          <w:szCs w:val="24"/>
          <w:u w:val="single"/>
        </w:rPr>
        <w:t>Amendment of other legislation</w:t>
      </w:r>
    </w:p>
    <w:p w14:paraId="0932B222" w14:textId="77777777" w:rsidR="007C5D2E" w:rsidRPr="007C5D2E" w:rsidRDefault="007C5D2E" w:rsidP="007C5D2E">
      <w:pPr>
        <w:spacing w:after="200"/>
        <w:ind w:left="-76"/>
        <w:outlineLvl w:val="1"/>
        <w:rPr>
          <w:rFonts w:ascii="Arial" w:eastAsiaTheme="minorHAnsi" w:hAnsi="Arial" w:cs="Arial"/>
          <w:sz w:val="24"/>
          <w:szCs w:val="24"/>
          <w:u w:val="single"/>
        </w:rPr>
      </w:pPr>
      <w:r w:rsidRPr="007C5D2E">
        <w:rPr>
          <w:rFonts w:ascii="Arial" w:eastAsiaTheme="minorHAnsi" w:hAnsi="Arial" w:cs="Arial"/>
          <w:sz w:val="24"/>
          <w:szCs w:val="24"/>
          <w:u w:val="single"/>
        </w:rPr>
        <w:t>The 2019 Regulations also amend other legislation. However, that legislation is not applicable in relation to Wales, and as such is not discussed in this statement.</w:t>
      </w:r>
    </w:p>
    <w:p w14:paraId="78E876E0" w14:textId="77777777" w:rsidR="007C5D2E" w:rsidRPr="007C5D2E" w:rsidRDefault="007C5D2E" w:rsidP="007C5D2E">
      <w:pPr>
        <w:ind w:left="567"/>
        <w:contextualSpacing/>
        <w:outlineLvl w:val="1"/>
        <w:rPr>
          <w:rFonts w:ascii="Arial" w:eastAsiaTheme="minorHAnsi" w:hAnsi="Arial" w:cs="Arial"/>
          <w:sz w:val="24"/>
          <w:szCs w:val="24"/>
        </w:rPr>
      </w:pPr>
    </w:p>
    <w:p w14:paraId="092555E1" w14:textId="77777777" w:rsidR="007C5D2E" w:rsidRPr="007C5D2E" w:rsidRDefault="007C5D2E" w:rsidP="007C5D2E">
      <w:pPr>
        <w:spacing w:after="200"/>
        <w:jc w:val="both"/>
        <w:rPr>
          <w:rFonts w:ascii="Arial" w:eastAsiaTheme="minorHAnsi" w:hAnsi="Arial" w:cs="Arial"/>
          <w:b/>
          <w:sz w:val="24"/>
          <w:szCs w:val="24"/>
        </w:rPr>
      </w:pPr>
      <w:r w:rsidRPr="007C5D2E">
        <w:rPr>
          <w:rFonts w:ascii="Arial" w:eastAsiaTheme="minorHAnsi" w:hAnsi="Arial" w:cs="Arial"/>
          <w:b/>
          <w:sz w:val="24"/>
          <w:szCs w:val="24"/>
        </w:rPr>
        <w:t>Any impact the SI may have on the Assembly’s legislative competence and/or the Welsh Ministers’ executive competence</w:t>
      </w:r>
    </w:p>
    <w:p w14:paraId="785C5ECB" w14:textId="77777777" w:rsidR="007C5D2E" w:rsidRPr="007C5D2E" w:rsidRDefault="007C5D2E" w:rsidP="007C5D2E">
      <w:pPr>
        <w:spacing w:after="200" w:line="276" w:lineRule="auto"/>
        <w:contextualSpacing/>
        <w:jc w:val="both"/>
        <w:rPr>
          <w:rFonts w:ascii="Arial" w:eastAsiaTheme="minorHAnsi" w:hAnsi="Arial" w:cs="Arial"/>
          <w:sz w:val="24"/>
          <w:szCs w:val="24"/>
        </w:rPr>
      </w:pPr>
      <w:r w:rsidRPr="007C5D2E">
        <w:rPr>
          <w:rFonts w:ascii="Arial" w:eastAsiaTheme="minorHAnsi" w:hAnsi="Arial" w:cs="Arial"/>
          <w:sz w:val="24"/>
          <w:szCs w:val="24"/>
        </w:rPr>
        <w:br/>
        <w:t>CMO is primarily a devolved subject matter.</w:t>
      </w:r>
    </w:p>
    <w:p w14:paraId="0AAD8B95" w14:textId="77777777" w:rsidR="007C5D2E" w:rsidRPr="007C5D2E" w:rsidRDefault="007C5D2E" w:rsidP="007C5D2E">
      <w:pPr>
        <w:spacing w:after="200" w:line="276" w:lineRule="auto"/>
        <w:contextualSpacing/>
        <w:jc w:val="both"/>
        <w:rPr>
          <w:rFonts w:ascii="Arial" w:eastAsiaTheme="minorHAnsi" w:hAnsi="Arial" w:cs="Arial"/>
          <w:sz w:val="24"/>
          <w:szCs w:val="24"/>
        </w:rPr>
      </w:pPr>
    </w:p>
    <w:p w14:paraId="3ED09418" w14:textId="77777777" w:rsidR="007C5D2E" w:rsidRPr="007C5D2E" w:rsidRDefault="007C5D2E" w:rsidP="007C5D2E">
      <w:pPr>
        <w:tabs>
          <w:tab w:val="left" w:pos="426"/>
        </w:tabs>
        <w:spacing w:before="240" w:after="200" w:line="276" w:lineRule="auto"/>
        <w:contextualSpacing/>
        <w:jc w:val="both"/>
        <w:rPr>
          <w:rFonts w:ascii="Arial" w:eastAsiaTheme="minorHAnsi" w:hAnsi="Arial" w:cs="Arial"/>
          <w:b/>
          <w:sz w:val="24"/>
          <w:szCs w:val="24"/>
        </w:rPr>
      </w:pPr>
      <w:r w:rsidRPr="007C5D2E">
        <w:rPr>
          <w:rFonts w:ascii="Arial" w:eastAsiaTheme="minorHAnsi" w:hAnsi="Arial" w:cs="Arial"/>
          <w:sz w:val="24"/>
          <w:szCs w:val="24"/>
        </w:rPr>
        <w:t>This SI contains provision which enables the Welsh Ministers, in relation to Wales, to exercise administrative functions previously conferred on the Secretary of State by the Hops Certification Regulations 1979 without encumbrance.</w:t>
      </w:r>
    </w:p>
    <w:p w14:paraId="62CE22B3" w14:textId="77777777" w:rsidR="007C5D2E" w:rsidRPr="007C5D2E" w:rsidRDefault="007C5D2E" w:rsidP="007C5D2E">
      <w:pPr>
        <w:spacing w:before="120"/>
        <w:ind w:left="120"/>
        <w:jc w:val="both"/>
        <w:outlineLvl w:val="1"/>
        <w:rPr>
          <w:rFonts w:ascii="Arial" w:hAnsi="Arial" w:cs="Arial"/>
          <w:sz w:val="24"/>
          <w:szCs w:val="24"/>
        </w:rPr>
      </w:pPr>
    </w:p>
    <w:p w14:paraId="19161FE5" w14:textId="77777777" w:rsidR="007C5D2E" w:rsidRPr="007C5D2E" w:rsidRDefault="007C5D2E" w:rsidP="007C5D2E">
      <w:pPr>
        <w:ind w:left="576" w:hanging="576"/>
        <w:outlineLvl w:val="1"/>
        <w:rPr>
          <w:rFonts w:ascii="Arial" w:hAnsi="Arial" w:cs="Arial"/>
          <w:b/>
          <w:sz w:val="24"/>
          <w:szCs w:val="24"/>
        </w:rPr>
      </w:pPr>
      <w:r w:rsidRPr="007C5D2E">
        <w:rPr>
          <w:rFonts w:ascii="Arial" w:hAnsi="Arial" w:cs="Arial"/>
          <w:b/>
          <w:sz w:val="24"/>
          <w:szCs w:val="24"/>
        </w:rPr>
        <w:t xml:space="preserve">The purpose of the amendments </w:t>
      </w:r>
    </w:p>
    <w:p w14:paraId="00D25921" w14:textId="77777777" w:rsidR="007C5D2E" w:rsidRPr="007C5D2E" w:rsidRDefault="007C5D2E" w:rsidP="007C5D2E">
      <w:pPr>
        <w:ind w:left="576" w:hanging="576"/>
        <w:outlineLvl w:val="1"/>
        <w:rPr>
          <w:rFonts w:ascii="Arial" w:hAnsi="Arial" w:cs="Arial"/>
          <w:b/>
          <w:sz w:val="24"/>
          <w:szCs w:val="24"/>
        </w:rPr>
      </w:pPr>
    </w:p>
    <w:p w14:paraId="20B1FEAA" w14:textId="77777777" w:rsidR="007C5D2E" w:rsidRPr="007C5D2E" w:rsidRDefault="007C5D2E" w:rsidP="007C5D2E">
      <w:pPr>
        <w:tabs>
          <w:tab w:val="left" w:pos="720"/>
        </w:tabs>
        <w:spacing w:before="120" w:after="60"/>
        <w:outlineLvl w:val="1"/>
        <w:rPr>
          <w:rFonts w:ascii="Arial" w:hAnsi="Arial" w:cs="Arial"/>
          <w:sz w:val="24"/>
          <w:szCs w:val="28"/>
        </w:rPr>
      </w:pPr>
      <w:r w:rsidRPr="007C5D2E">
        <w:rPr>
          <w:rFonts w:ascii="Arial" w:hAnsi="Arial" w:cs="Arial"/>
          <w:sz w:val="24"/>
          <w:szCs w:val="28"/>
        </w:rPr>
        <w:t xml:space="preserve">The Common Market Organisation (“CMO”) is the framework for the market measures provided for under the Common Agriculture Policy (“CAP”), providing the framework for the market support schemes set up in the various agricultural sectors. The CMOs were set up as a means of meeting the objectives of the CAP and in particular to stabilise markets, ensure a fair standard of living for agricultural producers and increase agricultural productivity. It has over time broadened out to provide a toolkit that enables the EU to: </w:t>
      </w:r>
    </w:p>
    <w:p w14:paraId="678371A9" w14:textId="77777777" w:rsidR="007C5D2E" w:rsidRPr="007C5D2E" w:rsidRDefault="007C5D2E" w:rsidP="007C5D2E">
      <w:pPr>
        <w:numPr>
          <w:ilvl w:val="0"/>
          <w:numId w:val="8"/>
        </w:numPr>
        <w:tabs>
          <w:tab w:val="left" w:pos="720"/>
        </w:tabs>
        <w:spacing w:before="120" w:after="60" w:line="276" w:lineRule="auto"/>
        <w:outlineLvl w:val="1"/>
        <w:rPr>
          <w:rFonts w:ascii="Arial" w:hAnsi="Arial" w:cs="Arial"/>
          <w:sz w:val="24"/>
          <w:szCs w:val="28"/>
        </w:rPr>
      </w:pPr>
      <w:r w:rsidRPr="007C5D2E">
        <w:rPr>
          <w:rFonts w:ascii="Arial" w:hAnsi="Arial" w:cs="Arial"/>
          <w:sz w:val="24"/>
          <w:szCs w:val="28"/>
        </w:rPr>
        <w:t xml:space="preserve">manage market volatility; </w:t>
      </w:r>
    </w:p>
    <w:p w14:paraId="38AC44B0" w14:textId="77777777" w:rsidR="007C5D2E" w:rsidRPr="007C5D2E" w:rsidRDefault="007C5D2E" w:rsidP="007C5D2E">
      <w:pPr>
        <w:numPr>
          <w:ilvl w:val="0"/>
          <w:numId w:val="8"/>
        </w:numPr>
        <w:tabs>
          <w:tab w:val="left" w:pos="720"/>
        </w:tabs>
        <w:spacing w:before="120" w:after="60" w:line="276" w:lineRule="auto"/>
        <w:outlineLvl w:val="1"/>
        <w:rPr>
          <w:rFonts w:ascii="Arial" w:hAnsi="Arial" w:cs="Arial"/>
          <w:sz w:val="24"/>
          <w:szCs w:val="28"/>
        </w:rPr>
      </w:pPr>
      <w:r w:rsidRPr="007C5D2E">
        <w:rPr>
          <w:rFonts w:ascii="Arial" w:hAnsi="Arial" w:cs="Arial"/>
          <w:sz w:val="24"/>
          <w:szCs w:val="28"/>
        </w:rPr>
        <w:t xml:space="preserve">incentivise collaboration between and competitiveness of agricultural producers; and </w:t>
      </w:r>
    </w:p>
    <w:p w14:paraId="43D3DF77" w14:textId="77777777" w:rsidR="007C5D2E" w:rsidRPr="007C5D2E" w:rsidRDefault="007C5D2E" w:rsidP="007C5D2E">
      <w:pPr>
        <w:numPr>
          <w:ilvl w:val="0"/>
          <w:numId w:val="8"/>
        </w:numPr>
        <w:tabs>
          <w:tab w:val="left" w:pos="720"/>
        </w:tabs>
        <w:spacing w:before="120" w:after="60" w:line="276" w:lineRule="auto"/>
        <w:outlineLvl w:val="1"/>
        <w:rPr>
          <w:rFonts w:ascii="Arial" w:hAnsi="Arial" w:cs="Arial"/>
          <w:sz w:val="24"/>
          <w:szCs w:val="28"/>
        </w:rPr>
      </w:pPr>
      <w:r w:rsidRPr="007C5D2E">
        <w:rPr>
          <w:rFonts w:ascii="Arial" w:hAnsi="Arial" w:cs="Arial"/>
          <w:sz w:val="24"/>
          <w:szCs w:val="28"/>
        </w:rPr>
        <w:t xml:space="preserve">facilitate trade. </w:t>
      </w:r>
    </w:p>
    <w:p w14:paraId="3230B5AB" w14:textId="77777777" w:rsidR="007C5D2E" w:rsidRPr="007C5D2E" w:rsidRDefault="007C5D2E" w:rsidP="007C5D2E">
      <w:pPr>
        <w:tabs>
          <w:tab w:val="left" w:pos="720"/>
        </w:tabs>
        <w:spacing w:before="120" w:after="60"/>
        <w:ind w:left="1440"/>
        <w:outlineLvl w:val="1"/>
        <w:rPr>
          <w:rFonts w:ascii="Arial" w:hAnsi="Arial" w:cs="Arial"/>
          <w:sz w:val="24"/>
          <w:szCs w:val="28"/>
        </w:rPr>
      </w:pPr>
    </w:p>
    <w:p w14:paraId="11B62802" w14:textId="77777777" w:rsidR="007C5D2E" w:rsidRPr="007C5D2E" w:rsidRDefault="007C5D2E" w:rsidP="007C5D2E">
      <w:pPr>
        <w:jc w:val="both"/>
        <w:outlineLvl w:val="1"/>
        <w:rPr>
          <w:rFonts w:ascii="Arial" w:hAnsi="Arial" w:cs="Arial"/>
          <w:sz w:val="24"/>
          <w:szCs w:val="24"/>
        </w:rPr>
      </w:pPr>
      <w:r w:rsidRPr="007C5D2E">
        <w:rPr>
          <w:rFonts w:ascii="Arial" w:hAnsi="Arial" w:cs="Arial"/>
          <w:sz w:val="24"/>
          <w:szCs w:val="24"/>
        </w:rPr>
        <w:t xml:space="preserve">The 2019 Regulations make amendments to existing domestic legislation which forms part of UK law relating to CMO. </w:t>
      </w:r>
    </w:p>
    <w:p w14:paraId="142981C3" w14:textId="77777777" w:rsidR="007C5D2E" w:rsidRPr="007C5D2E" w:rsidRDefault="007C5D2E" w:rsidP="007C5D2E">
      <w:pPr>
        <w:jc w:val="both"/>
        <w:outlineLvl w:val="1"/>
        <w:rPr>
          <w:rFonts w:ascii="Arial" w:hAnsi="Arial" w:cs="Arial"/>
          <w:sz w:val="24"/>
          <w:szCs w:val="24"/>
        </w:rPr>
      </w:pPr>
    </w:p>
    <w:p w14:paraId="1763CFB0" w14:textId="77777777" w:rsidR="007C5D2E" w:rsidRPr="007C5D2E" w:rsidRDefault="007C5D2E" w:rsidP="007C5D2E">
      <w:pPr>
        <w:jc w:val="both"/>
        <w:outlineLvl w:val="1"/>
        <w:rPr>
          <w:rFonts w:ascii="Arial" w:hAnsi="Arial" w:cs="Arial"/>
          <w:sz w:val="24"/>
          <w:szCs w:val="24"/>
        </w:rPr>
      </w:pPr>
      <w:r w:rsidRPr="007C5D2E">
        <w:rPr>
          <w:rFonts w:ascii="Arial" w:hAnsi="Arial" w:cs="Arial"/>
          <w:sz w:val="24"/>
          <w:szCs w:val="24"/>
        </w:rPr>
        <w:t>The 2019 Regulations provide operability fixes that in policy terms are intended to maintain a status quo position as far as possible and is not intended to have noticeable impacts on the ground for the agricultural sector.</w:t>
      </w:r>
    </w:p>
    <w:p w14:paraId="6B234F1A" w14:textId="77777777" w:rsidR="007C5D2E" w:rsidRPr="007C5D2E" w:rsidRDefault="007C5D2E" w:rsidP="007C5D2E">
      <w:pPr>
        <w:jc w:val="both"/>
        <w:outlineLvl w:val="1"/>
        <w:rPr>
          <w:rFonts w:ascii="Arial" w:hAnsi="Arial" w:cs="Arial"/>
          <w:sz w:val="24"/>
          <w:szCs w:val="24"/>
        </w:rPr>
      </w:pPr>
    </w:p>
    <w:p w14:paraId="449E932E" w14:textId="77777777" w:rsidR="007C5D2E" w:rsidRPr="007C5D2E" w:rsidRDefault="007C5D2E" w:rsidP="007C5D2E">
      <w:pPr>
        <w:outlineLvl w:val="1"/>
        <w:rPr>
          <w:rFonts w:ascii="Arial" w:hAnsi="Arial" w:cs="Arial"/>
          <w:sz w:val="24"/>
          <w:szCs w:val="28"/>
        </w:rPr>
      </w:pPr>
      <w:r w:rsidRPr="007C5D2E">
        <w:rPr>
          <w:rFonts w:ascii="Arial" w:hAnsi="Arial" w:cs="Arial"/>
          <w:sz w:val="24"/>
          <w:szCs w:val="28"/>
        </w:rPr>
        <w:t xml:space="preserve">After EU Exit and without amendment, the above domestic legislation would contain inoperable provisions that would prevent the delivery of market support schemes to the agricultural sector. </w:t>
      </w:r>
    </w:p>
    <w:p w14:paraId="12811392" w14:textId="77777777" w:rsidR="007C5D2E" w:rsidRPr="007C5D2E" w:rsidRDefault="007C5D2E" w:rsidP="007C5D2E">
      <w:pPr>
        <w:ind w:left="576" w:hanging="576"/>
        <w:jc w:val="both"/>
        <w:outlineLvl w:val="1"/>
        <w:rPr>
          <w:rFonts w:ascii="Arial" w:hAnsi="Arial" w:cs="Arial"/>
          <w:b/>
          <w:sz w:val="24"/>
          <w:szCs w:val="24"/>
        </w:rPr>
      </w:pPr>
    </w:p>
    <w:p w14:paraId="7CD882EE" w14:textId="77777777" w:rsidR="007C5D2E" w:rsidRPr="007C5D2E" w:rsidRDefault="007C5D2E" w:rsidP="007C5D2E">
      <w:pPr>
        <w:spacing w:after="200"/>
        <w:jc w:val="both"/>
        <w:rPr>
          <w:rFonts w:ascii="Arial" w:eastAsiaTheme="minorHAnsi" w:hAnsi="Arial" w:cs="Arial"/>
          <w:color w:val="0000FF" w:themeColor="hyperlink"/>
          <w:sz w:val="24"/>
          <w:szCs w:val="24"/>
          <w:u w:val="single"/>
        </w:rPr>
      </w:pPr>
      <w:r w:rsidRPr="007C5D2E">
        <w:rPr>
          <w:rFonts w:ascii="Arial" w:eastAsiaTheme="minorHAnsi" w:hAnsi="Arial" w:cs="Arial"/>
          <w:sz w:val="24"/>
          <w:szCs w:val="24"/>
        </w:rPr>
        <w:t xml:space="preserve">The Regulations and accompanying Explanatory Memorandum, setting out the effect of amendments is available here: </w:t>
      </w:r>
      <w:hyperlink r:id="rId8" w:history="1">
        <w:r w:rsidRPr="007C5D2E">
          <w:rPr>
            <w:rFonts w:ascii="Arial" w:eastAsiaTheme="minorHAnsi" w:hAnsi="Arial" w:cs="Arial"/>
            <w:color w:val="0000FF" w:themeColor="hyperlink"/>
            <w:sz w:val="24"/>
            <w:szCs w:val="24"/>
            <w:u w:val="single"/>
          </w:rPr>
          <w:t>https://www.gov.uk/eu-withdrawal-act-2018-statutory-instruments</w:t>
        </w:r>
      </w:hyperlink>
    </w:p>
    <w:p w14:paraId="1923DBD3" w14:textId="77777777" w:rsidR="007C5D2E" w:rsidRPr="007C5D2E" w:rsidRDefault="007C5D2E" w:rsidP="007C5D2E">
      <w:pPr>
        <w:spacing w:after="200" w:line="276" w:lineRule="auto"/>
        <w:jc w:val="both"/>
        <w:rPr>
          <w:rFonts w:ascii="Arial" w:eastAsiaTheme="minorHAnsi" w:hAnsi="Arial" w:cs="Arial"/>
          <w:b/>
          <w:sz w:val="24"/>
          <w:szCs w:val="24"/>
        </w:rPr>
      </w:pPr>
      <w:r w:rsidRPr="007C5D2E">
        <w:rPr>
          <w:rFonts w:ascii="Arial" w:eastAsiaTheme="minorHAnsi" w:hAnsi="Arial" w:cs="Arial"/>
          <w:b/>
          <w:sz w:val="24"/>
          <w:szCs w:val="24"/>
        </w:rPr>
        <w:t>Why consent was given</w:t>
      </w:r>
    </w:p>
    <w:p w14:paraId="0FB4EEC5" w14:textId="77777777" w:rsidR="007C5D2E" w:rsidRPr="007C5D2E" w:rsidRDefault="007C5D2E" w:rsidP="007C5D2E">
      <w:pPr>
        <w:spacing w:after="200"/>
        <w:jc w:val="both"/>
        <w:rPr>
          <w:rFonts w:ascii="Arial" w:eastAsiaTheme="minorHAnsi" w:hAnsi="Arial" w:cs="Arial"/>
          <w:sz w:val="24"/>
          <w:szCs w:val="24"/>
        </w:rPr>
      </w:pPr>
      <w:r w:rsidRPr="007C5D2E">
        <w:rPr>
          <w:rFonts w:ascii="Arial" w:eastAsiaTheme="minorHAnsi"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p w14:paraId="51290D54" w14:textId="3AC95CD2" w:rsidR="00BA7083" w:rsidRPr="00644F65" w:rsidRDefault="00BA7083" w:rsidP="000902C5">
      <w:pPr>
        <w:tabs>
          <w:tab w:val="left" w:pos="6949"/>
        </w:tabs>
        <w:rPr>
          <w:rFonts w:ascii="Arial" w:eastAsiaTheme="minorHAnsi" w:hAnsi="Arial" w:cs="Arial"/>
          <w:b/>
          <w:sz w:val="24"/>
          <w:szCs w:val="24"/>
        </w:rPr>
      </w:pPr>
    </w:p>
    <w:sectPr w:rsidR="00BA7083" w:rsidRPr="00644F65"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BEF44" w14:textId="77777777" w:rsidR="00744110" w:rsidRDefault="00744110">
      <w:r>
        <w:separator/>
      </w:r>
    </w:p>
  </w:endnote>
  <w:endnote w:type="continuationSeparator" w:id="0">
    <w:p w14:paraId="4AF372D8" w14:textId="77777777" w:rsidR="00744110" w:rsidRDefault="0074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99B5" w14:textId="77777777" w:rsidR="00DF6C1C" w:rsidRDefault="00DF6C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AA9F2" w14:textId="77777777" w:rsidR="00DF6C1C" w:rsidRDefault="00DF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44F" w14:textId="7AF98D40" w:rsidR="00DF6C1C" w:rsidRDefault="00DF6C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0CB3">
      <w:rPr>
        <w:rStyle w:val="PageNumber"/>
        <w:noProof/>
      </w:rPr>
      <w:t>2</w:t>
    </w:r>
    <w:r>
      <w:rPr>
        <w:rStyle w:val="PageNumber"/>
      </w:rPr>
      <w:fldChar w:fldCharType="end"/>
    </w:r>
  </w:p>
  <w:p w14:paraId="28EF1EBB" w14:textId="77777777" w:rsidR="00DF6C1C" w:rsidRDefault="00DF6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EEE" w14:textId="26A43D4A" w:rsidR="00DF6C1C" w:rsidRPr="005D2A41" w:rsidRDefault="00DF6C1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00CB3">
      <w:rPr>
        <w:rStyle w:val="PageNumber"/>
        <w:rFonts w:ascii="Arial" w:hAnsi="Arial" w:cs="Arial"/>
        <w:noProof/>
        <w:sz w:val="24"/>
        <w:szCs w:val="24"/>
      </w:rPr>
      <w:t>1</w:t>
    </w:r>
    <w:r w:rsidRPr="005D2A41">
      <w:rPr>
        <w:rStyle w:val="PageNumber"/>
        <w:rFonts w:ascii="Arial" w:hAnsi="Arial" w:cs="Arial"/>
        <w:sz w:val="24"/>
        <w:szCs w:val="24"/>
      </w:rPr>
      <w:fldChar w:fldCharType="end"/>
    </w:r>
  </w:p>
  <w:p w14:paraId="42D827A3" w14:textId="77777777" w:rsidR="00DF6C1C" w:rsidRPr="00A845A9" w:rsidRDefault="00DF6C1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33AD2" w14:textId="77777777" w:rsidR="00744110" w:rsidRDefault="00744110">
      <w:r>
        <w:separator/>
      </w:r>
    </w:p>
  </w:footnote>
  <w:footnote w:type="continuationSeparator" w:id="0">
    <w:p w14:paraId="702A5C00" w14:textId="77777777" w:rsidR="00744110" w:rsidRDefault="0074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D05C" w14:textId="77777777" w:rsidR="00DF6C1C" w:rsidRDefault="00DF6C1C">
    <w:r>
      <w:rPr>
        <w:noProof/>
        <w:lang w:eastAsia="en-GB"/>
      </w:rPr>
      <w:drawing>
        <wp:anchor distT="0" distB="0" distL="114300" distR="114300" simplePos="0" relativeHeight="251657728" behindDoc="1" locked="0" layoutInCell="1" allowOverlap="1" wp14:anchorId="7BBF1515" wp14:editId="6C98D27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12D0DF3" w14:textId="77777777" w:rsidR="00DF6C1C" w:rsidRDefault="00DF6C1C">
    <w:pPr>
      <w:pStyle w:val="Header"/>
    </w:pPr>
  </w:p>
  <w:p w14:paraId="087CE36B" w14:textId="77777777" w:rsidR="00DF6C1C" w:rsidRDefault="00DF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633"/>
    <w:multiLevelType w:val="hybridMultilevel"/>
    <w:tmpl w:val="BA28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659F"/>
    <w:multiLevelType w:val="hybridMultilevel"/>
    <w:tmpl w:val="8416C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20E8E"/>
    <w:multiLevelType w:val="hybridMultilevel"/>
    <w:tmpl w:val="9E4AF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EC14B3"/>
    <w:multiLevelType w:val="hybridMultilevel"/>
    <w:tmpl w:val="80AC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B2DE6"/>
    <w:multiLevelType w:val="hybridMultilevel"/>
    <w:tmpl w:val="37005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F46F37"/>
    <w:multiLevelType w:val="hybridMultilevel"/>
    <w:tmpl w:val="A7503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601070D"/>
    <w:multiLevelType w:val="hybridMultilevel"/>
    <w:tmpl w:val="816A5C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47A9"/>
    <w:rsid w:val="000516D9"/>
    <w:rsid w:val="000829C7"/>
    <w:rsid w:val="00082B81"/>
    <w:rsid w:val="000902C5"/>
    <w:rsid w:val="00090C3D"/>
    <w:rsid w:val="00097118"/>
    <w:rsid w:val="000C3A52"/>
    <w:rsid w:val="000C53DB"/>
    <w:rsid w:val="000C5E9B"/>
    <w:rsid w:val="00101013"/>
    <w:rsid w:val="00134918"/>
    <w:rsid w:val="001460B1"/>
    <w:rsid w:val="00152EAC"/>
    <w:rsid w:val="0017102C"/>
    <w:rsid w:val="001A39E2"/>
    <w:rsid w:val="001A6AF1"/>
    <w:rsid w:val="001B027C"/>
    <w:rsid w:val="001B288D"/>
    <w:rsid w:val="001C3A15"/>
    <w:rsid w:val="001C532F"/>
    <w:rsid w:val="00214B25"/>
    <w:rsid w:val="00223E62"/>
    <w:rsid w:val="00274F08"/>
    <w:rsid w:val="0029125B"/>
    <w:rsid w:val="002A5310"/>
    <w:rsid w:val="002A5708"/>
    <w:rsid w:val="002C57B6"/>
    <w:rsid w:val="002F0EB9"/>
    <w:rsid w:val="002F49CC"/>
    <w:rsid w:val="002F53A9"/>
    <w:rsid w:val="00314E36"/>
    <w:rsid w:val="003220C1"/>
    <w:rsid w:val="00356D7B"/>
    <w:rsid w:val="00357893"/>
    <w:rsid w:val="00357E17"/>
    <w:rsid w:val="003670C1"/>
    <w:rsid w:val="00370471"/>
    <w:rsid w:val="003B1503"/>
    <w:rsid w:val="003B3D64"/>
    <w:rsid w:val="003C5133"/>
    <w:rsid w:val="00400CB3"/>
    <w:rsid w:val="00412673"/>
    <w:rsid w:val="0043031D"/>
    <w:rsid w:val="0046757C"/>
    <w:rsid w:val="004B04CF"/>
    <w:rsid w:val="004C6BFB"/>
    <w:rsid w:val="005456B8"/>
    <w:rsid w:val="00560F1F"/>
    <w:rsid w:val="00574BB3"/>
    <w:rsid w:val="0057543A"/>
    <w:rsid w:val="00577C61"/>
    <w:rsid w:val="005934D9"/>
    <w:rsid w:val="005A22E2"/>
    <w:rsid w:val="005A72C7"/>
    <w:rsid w:val="005B030B"/>
    <w:rsid w:val="005D2A41"/>
    <w:rsid w:val="005D4B9D"/>
    <w:rsid w:val="005D7663"/>
    <w:rsid w:val="0062648B"/>
    <w:rsid w:val="00644F65"/>
    <w:rsid w:val="00654C0A"/>
    <w:rsid w:val="006633C7"/>
    <w:rsid w:val="00663F04"/>
    <w:rsid w:val="00670227"/>
    <w:rsid w:val="00680945"/>
    <w:rsid w:val="006814BD"/>
    <w:rsid w:val="0069133F"/>
    <w:rsid w:val="006B340E"/>
    <w:rsid w:val="006B461D"/>
    <w:rsid w:val="006D4173"/>
    <w:rsid w:val="006E0A2C"/>
    <w:rsid w:val="00703993"/>
    <w:rsid w:val="00720DC4"/>
    <w:rsid w:val="007259F5"/>
    <w:rsid w:val="0073380E"/>
    <w:rsid w:val="00743B79"/>
    <w:rsid w:val="00744110"/>
    <w:rsid w:val="007523BC"/>
    <w:rsid w:val="00752C48"/>
    <w:rsid w:val="00775ED7"/>
    <w:rsid w:val="007A05FB"/>
    <w:rsid w:val="007B5260"/>
    <w:rsid w:val="007C24E7"/>
    <w:rsid w:val="007C5D2E"/>
    <w:rsid w:val="007D1402"/>
    <w:rsid w:val="007F5E64"/>
    <w:rsid w:val="00800FA0"/>
    <w:rsid w:val="00812370"/>
    <w:rsid w:val="0082411A"/>
    <w:rsid w:val="00841628"/>
    <w:rsid w:val="00846160"/>
    <w:rsid w:val="00867BBB"/>
    <w:rsid w:val="00877BD2"/>
    <w:rsid w:val="008B7927"/>
    <w:rsid w:val="008D1E0B"/>
    <w:rsid w:val="008D4625"/>
    <w:rsid w:val="008E4488"/>
    <w:rsid w:val="008F0CC6"/>
    <w:rsid w:val="008F789E"/>
    <w:rsid w:val="00905771"/>
    <w:rsid w:val="00953A46"/>
    <w:rsid w:val="00967473"/>
    <w:rsid w:val="00973090"/>
    <w:rsid w:val="00995EEC"/>
    <w:rsid w:val="009D26D8"/>
    <w:rsid w:val="009E4974"/>
    <w:rsid w:val="009F06C3"/>
    <w:rsid w:val="00A204C9"/>
    <w:rsid w:val="00A23742"/>
    <w:rsid w:val="00A3247B"/>
    <w:rsid w:val="00A43A6C"/>
    <w:rsid w:val="00A45DE8"/>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A4D8B"/>
    <w:rsid w:val="00BA7083"/>
    <w:rsid w:val="00BD73DE"/>
    <w:rsid w:val="00C27EB2"/>
    <w:rsid w:val="00C43B4A"/>
    <w:rsid w:val="00C64FA5"/>
    <w:rsid w:val="00C84A12"/>
    <w:rsid w:val="00CC169E"/>
    <w:rsid w:val="00CF3DC5"/>
    <w:rsid w:val="00D017E2"/>
    <w:rsid w:val="00D16D97"/>
    <w:rsid w:val="00D27F42"/>
    <w:rsid w:val="00D84713"/>
    <w:rsid w:val="00DD2DF8"/>
    <w:rsid w:val="00DD4B82"/>
    <w:rsid w:val="00DF603B"/>
    <w:rsid w:val="00DF6C1C"/>
    <w:rsid w:val="00E1556F"/>
    <w:rsid w:val="00E3419E"/>
    <w:rsid w:val="00E352B3"/>
    <w:rsid w:val="00E36403"/>
    <w:rsid w:val="00E47B1A"/>
    <w:rsid w:val="00E631B1"/>
    <w:rsid w:val="00EA5290"/>
    <w:rsid w:val="00EB248F"/>
    <w:rsid w:val="00EB5F93"/>
    <w:rsid w:val="00EC0568"/>
    <w:rsid w:val="00EE721A"/>
    <w:rsid w:val="00EF262C"/>
    <w:rsid w:val="00F0272E"/>
    <w:rsid w:val="00F15AF3"/>
    <w:rsid w:val="00F2438B"/>
    <w:rsid w:val="00F81C33"/>
    <w:rsid w:val="00F923C2"/>
    <w:rsid w:val="00F97613"/>
    <w:rsid w:val="00FB1DA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26C7FC"/>
  <w15:docId w15:val="{EFA929E0-6C4C-43F1-A846-54C3F828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N1">
    <w:name w:val="N1"/>
    <w:basedOn w:val="Normal"/>
    <w:rsid w:val="008E4488"/>
    <w:pPr>
      <w:numPr>
        <w:numId w:val="4"/>
      </w:numPr>
      <w:spacing w:before="160" w:line="220" w:lineRule="atLeast"/>
      <w:jc w:val="both"/>
    </w:pPr>
    <w:rPr>
      <w:rFonts w:ascii="Times New Roman" w:hAnsi="Times New Roman"/>
      <w:sz w:val="21"/>
    </w:rPr>
  </w:style>
  <w:style w:type="paragraph" w:customStyle="1" w:styleId="N2">
    <w:name w:val="N2"/>
    <w:basedOn w:val="N1"/>
    <w:rsid w:val="008E4488"/>
    <w:pPr>
      <w:numPr>
        <w:ilvl w:val="1"/>
      </w:numPr>
      <w:spacing w:before="80"/>
    </w:pPr>
  </w:style>
  <w:style w:type="paragraph" w:customStyle="1" w:styleId="N3">
    <w:name w:val="N3"/>
    <w:basedOn w:val="N2"/>
    <w:rsid w:val="008E4488"/>
    <w:pPr>
      <w:numPr>
        <w:ilvl w:val="2"/>
      </w:numPr>
    </w:pPr>
  </w:style>
  <w:style w:type="paragraph" w:customStyle="1" w:styleId="N4">
    <w:name w:val="N4"/>
    <w:basedOn w:val="N3"/>
    <w:rsid w:val="008E4488"/>
    <w:pPr>
      <w:numPr>
        <w:ilvl w:val="3"/>
      </w:numPr>
    </w:pPr>
  </w:style>
  <w:style w:type="paragraph" w:customStyle="1" w:styleId="N5">
    <w:name w:val="N5"/>
    <w:basedOn w:val="N4"/>
    <w:rsid w:val="008E4488"/>
    <w:pPr>
      <w:numPr>
        <w:ilvl w:val="4"/>
      </w:numPr>
    </w:pPr>
  </w:style>
  <w:style w:type="paragraph" w:styleId="NoSpacing">
    <w:name w:val="No Spacing"/>
    <w:uiPriority w:val="1"/>
    <w:qFormat/>
    <w:rsid w:val="008D4625"/>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DF6C1C"/>
    <w:rPr>
      <w:rFonts w:ascii="Tahoma" w:hAnsi="Tahoma" w:cs="Tahoma"/>
      <w:sz w:val="16"/>
      <w:szCs w:val="16"/>
    </w:rPr>
  </w:style>
  <w:style w:type="character" w:customStyle="1" w:styleId="BalloonTextChar">
    <w:name w:val="Balloon Text Char"/>
    <w:basedOn w:val="DefaultParagraphFont"/>
    <w:link w:val="BalloonText"/>
    <w:semiHidden/>
    <w:rsid w:val="00DF6C1C"/>
    <w:rPr>
      <w:rFonts w:ascii="Tahoma" w:hAnsi="Tahoma" w:cs="Tahoma"/>
      <w:sz w:val="16"/>
      <w:szCs w:val="16"/>
      <w:lang w:eastAsia="en-US"/>
    </w:rPr>
  </w:style>
  <w:style w:type="character" w:styleId="CommentReference">
    <w:name w:val="annotation reference"/>
    <w:basedOn w:val="DefaultParagraphFont"/>
    <w:semiHidden/>
    <w:unhideWhenUsed/>
    <w:rsid w:val="00E352B3"/>
    <w:rPr>
      <w:sz w:val="16"/>
      <w:szCs w:val="16"/>
    </w:rPr>
  </w:style>
  <w:style w:type="paragraph" w:styleId="CommentText">
    <w:name w:val="annotation text"/>
    <w:basedOn w:val="Normal"/>
    <w:link w:val="CommentTextChar"/>
    <w:semiHidden/>
    <w:unhideWhenUsed/>
    <w:rsid w:val="00E352B3"/>
    <w:rPr>
      <w:sz w:val="20"/>
    </w:rPr>
  </w:style>
  <w:style w:type="character" w:customStyle="1" w:styleId="CommentTextChar">
    <w:name w:val="Comment Text Char"/>
    <w:basedOn w:val="DefaultParagraphFont"/>
    <w:link w:val="CommentText"/>
    <w:semiHidden/>
    <w:rsid w:val="00E352B3"/>
    <w:rPr>
      <w:rFonts w:ascii="TradeGothic" w:hAnsi="TradeGothic"/>
      <w:lang w:eastAsia="en-US"/>
    </w:rPr>
  </w:style>
  <w:style w:type="paragraph" w:styleId="CommentSubject">
    <w:name w:val="annotation subject"/>
    <w:basedOn w:val="CommentText"/>
    <w:next w:val="CommentText"/>
    <w:link w:val="CommentSubjectChar"/>
    <w:semiHidden/>
    <w:unhideWhenUsed/>
    <w:rsid w:val="00E352B3"/>
    <w:rPr>
      <w:b/>
      <w:bCs/>
    </w:rPr>
  </w:style>
  <w:style w:type="character" w:customStyle="1" w:styleId="CommentSubjectChar">
    <w:name w:val="Comment Subject Char"/>
    <w:basedOn w:val="CommentTextChar"/>
    <w:link w:val="CommentSubject"/>
    <w:semiHidden/>
    <w:rsid w:val="00E352B3"/>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A25284933</value>
    </field>
    <field name="Objective-Title">
      <value order="0">18 February 2019 - Written Statement - The Market Measures (Miscellaneous Provisions) (Amendment) (EU Exit) Regulations 2019</value>
    </field>
    <field name="Objective-Description">
      <value order="0"/>
    </field>
    <field name="Objective-CreationStamp">
      <value order="0">2019-02-18T14:20:07Z</value>
    </field>
    <field name="Objective-IsApproved">
      <value order="0">false</value>
    </field>
    <field name="Objective-IsPublished">
      <value order="0">true</value>
    </field>
    <field name="Objective-DatePublished">
      <value order="0">2019-02-18T14:42:20Z</value>
    </field>
    <field name="Objective-ModificationStamp">
      <value order="0">2019-02-18T14:46:36Z</value>
    </field>
    <field name="Objective-Owner">
      <value order="0">Hartwell, Christopher (EPS - LGFWP)</value>
    </field>
    <field name="Objective-Path">
      <value order="0">Objective Global Folder:Business File Plan:Office of the First Minister (OFM):Office of the First Minister (OFM) - European Transition:1 - Save:European Transition:Legislation:European Transition - Secondary Legislation Catalogues - 2017-2022:TO LAY SI 18 February - The Market Measures (Miscellaneous Provisions) (Amendment) (EU Exit) Regulations 2019</value>
    </field>
    <field name="Objective-Parent">
      <value order="0">TO LAY SI 18 February - The Market Measures (Miscellaneous Provisions) (Amendment) (EU Exit) Regulations 2019</value>
    </field>
    <field name="Objective-State">
      <value order="0">Published</value>
    </field>
    <field name="Objective-VersionId">
      <value order="0">vA50237508</value>
    </field>
    <field name="Objective-Version">
      <value order="0">2.0</value>
    </field>
    <field name="Objective-VersionNumber">
      <value order="0">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2019-02-18T23:59:59Z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7BBAADA-1F8E-4AD0-842D-245ECDCD901D}"/>
</file>

<file path=customXml/itemProps3.xml><?xml version="1.0" encoding="utf-8"?>
<ds:datastoreItem xmlns:ds="http://schemas.openxmlformats.org/officeDocument/2006/customXml" ds:itemID="{BFFF1B39-0F5B-4C21-B05E-6D0CC2ECEB2C}"/>
</file>

<file path=customXml/itemProps4.xml><?xml version="1.0" encoding="utf-8"?>
<ds:datastoreItem xmlns:ds="http://schemas.openxmlformats.org/officeDocument/2006/customXml" ds:itemID="{154B8283-E6D2-45D3-8B67-1FA8D42DB6B0}"/>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Measures (Marketing Standards) (Amendment of Retained Direct EU Legislation) (EU Exit) Regulations 2019</dc:title>
  <dc:creator>burnsc</dc:creator>
  <cp:lastModifiedBy>Oxenham, James (OFM - Cabinet Division)</cp:lastModifiedBy>
  <cp:revision>2</cp:revision>
  <cp:lastPrinted>2018-11-30T10:16:00Z</cp:lastPrinted>
  <dcterms:created xsi:type="dcterms:W3CDTF">2019-02-18T15:29:00Z</dcterms:created>
  <dcterms:modified xsi:type="dcterms:W3CDTF">2019-02-18T15:29:00Z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A25284933</vt:lpwstr>
  </property>
  <property fmtid="{D5CDD505-2E9C-101B-9397-08002B2CF9AE}" pid="4" name="Objective-Title">
    <vt:lpwstr>18 February 2019 - Written Statement - The Market Measures (Miscellaneous Provisions) (Amendment) (EU Exit) Regulations 2019</vt:lpwstr>
  </property>
  <property fmtid="{D5CDD505-2E9C-101B-9397-08002B2CF9AE}" pid="5" name="Objective-Comment">
    <vt:lpwstr/>
  </property>
  <property fmtid="{D5CDD505-2E9C-101B-9397-08002B2CF9AE}" pid="6" name="Objective-CreationStamp">
    <vt:filetime>2019-02-18T14:20:12Z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2019-02-18T14:42:20Z</vt:filetime>
  </property>
  <property fmtid="{D5CDD505-2E9C-101B-9397-08002B2CF9AE}" pid="10" name="Objective-ModificationStamp">
    <vt:filetime>2019-02-18T14:46:36Z</vt:filetime>
  </property>
  <property fmtid="{D5CDD505-2E9C-101B-9397-08002B2CF9AE}" pid="11" name="Objective-Owner">
    <vt:lpwstr>Hartwell, Christopher (EPS - LGFWP)</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- 2017-2022:TO LAY SI 18</vt:lpwstr>
  </property>
  <property fmtid="{D5CDD505-2E9C-101B-9397-08002B2CF9AE}" pid="13" name="Objective-Parent">
    <vt:lpwstr>TO LAY SI 18 February - The Market Measures (Miscellaneous Provisions) (Amendment) (EU Exit) Regulations 2019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vA50237508</vt:lpwstr>
  </property>
  <property fmtid="{D5CDD505-2E9C-101B-9397-08002B2CF9AE}" pid="28" name="Objective-Language">
    <vt:lpwstr>English (eng)</vt:lpwstr>
  </property>
  <property fmtid="{D5CDD505-2E9C-101B-9397-08002B2CF9AE}" pid="29" name="Objective-Date Acquired">
    <vt:filetime>2019-02-18T23:59:59Z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