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A3B13" w14:textId="77777777" w:rsidR="001A39E2" w:rsidRDefault="001A39E2" w:rsidP="001A39E2">
      <w:pPr>
        <w:jc w:val="right"/>
        <w:rPr>
          <w:b/>
        </w:rPr>
      </w:pPr>
    </w:p>
    <w:p w14:paraId="0A594B8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AF1508C" wp14:editId="66ABCBB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DAAB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EB43F9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3F8FFE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27E8F5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C4E0CE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7B443C3" wp14:editId="099886D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82FA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59CD977" w14:textId="77777777" w:rsidTr="00B049B1">
        <w:tc>
          <w:tcPr>
            <w:tcW w:w="1383" w:type="dxa"/>
            <w:tcBorders>
              <w:top w:val="nil"/>
              <w:left w:val="nil"/>
              <w:bottom w:val="nil"/>
              <w:right w:val="nil"/>
            </w:tcBorders>
            <w:vAlign w:val="center"/>
          </w:tcPr>
          <w:p w14:paraId="69526711" w14:textId="77777777" w:rsidR="00EA5290" w:rsidRDefault="00EA5290" w:rsidP="00B049B1">
            <w:pPr>
              <w:spacing w:before="120" w:after="120"/>
              <w:rPr>
                <w:rFonts w:ascii="Arial" w:hAnsi="Arial" w:cs="Arial"/>
                <w:b/>
                <w:bCs/>
                <w:sz w:val="24"/>
                <w:szCs w:val="24"/>
              </w:rPr>
            </w:pPr>
          </w:p>
          <w:p w14:paraId="1948E3E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C5BB78A" w14:textId="77777777" w:rsidR="00EA5290" w:rsidRPr="00670227" w:rsidRDefault="009C4A47" w:rsidP="0057543A">
            <w:pPr>
              <w:spacing w:before="120" w:after="120"/>
              <w:rPr>
                <w:rFonts w:ascii="Arial" w:hAnsi="Arial" w:cs="Arial"/>
                <w:b/>
                <w:bCs/>
                <w:sz w:val="24"/>
                <w:szCs w:val="24"/>
              </w:rPr>
            </w:pPr>
            <w:bookmarkStart w:id="0" w:name="_GoBack"/>
            <w:r w:rsidRPr="009C4A47">
              <w:rPr>
                <w:rFonts w:ascii="Arial" w:hAnsi="Arial" w:cs="Arial"/>
                <w:b/>
                <w:bCs/>
                <w:sz w:val="24"/>
                <w:szCs w:val="24"/>
              </w:rPr>
              <w:t>The Common Organisation of the Markets in Agricultural Products and Common Agricultural Policy (Miscellaneous Amendments etc.) (EU Exit) (No. 2) Regulations 2019</w:t>
            </w:r>
            <w:bookmarkEnd w:id="0"/>
          </w:p>
        </w:tc>
      </w:tr>
      <w:tr w:rsidR="00EA5290" w:rsidRPr="00A011A1" w14:paraId="18A64235" w14:textId="77777777" w:rsidTr="00B049B1">
        <w:tc>
          <w:tcPr>
            <w:tcW w:w="1383" w:type="dxa"/>
            <w:tcBorders>
              <w:top w:val="nil"/>
              <w:left w:val="nil"/>
              <w:bottom w:val="nil"/>
              <w:right w:val="nil"/>
            </w:tcBorders>
            <w:vAlign w:val="center"/>
          </w:tcPr>
          <w:p w14:paraId="6D4F63C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9B38FF4" w14:textId="77777777" w:rsidR="00EA5290" w:rsidRPr="00670227" w:rsidRDefault="009C4A47" w:rsidP="00A614E7">
            <w:pPr>
              <w:spacing w:before="120" w:after="120"/>
              <w:rPr>
                <w:rFonts w:ascii="Arial" w:hAnsi="Arial" w:cs="Arial"/>
                <w:b/>
                <w:bCs/>
                <w:sz w:val="24"/>
                <w:szCs w:val="24"/>
              </w:rPr>
            </w:pPr>
            <w:r>
              <w:rPr>
                <w:rFonts w:ascii="Arial" w:hAnsi="Arial" w:cs="Arial"/>
                <w:b/>
                <w:bCs/>
                <w:sz w:val="24"/>
                <w:szCs w:val="24"/>
              </w:rPr>
              <w:t>7 August</w:t>
            </w:r>
            <w:r w:rsidR="00A614E7">
              <w:rPr>
                <w:rFonts w:ascii="Arial" w:hAnsi="Arial" w:cs="Arial"/>
                <w:b/>
                <w:bCs/>
                <w:sz w:val="24"/>
                <w:szCs w:val="24"/>
              </w:rPr>
              <w:t xml:space="preserve">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6A541D31" w14:textId="77777777" w:rsidTr="00B049B1">
        <w:tc>
          <w:tcPr>
            <w:tcW w:w="1383" w:type="dxa"/>
            <w:tcBorders>
              <w:top w:val="nil"/>
              <w:left w:val="nil"/>
              <w:bottom w:val="nil"/>
              <w:right w:val="nil"/>
            </w:tcBorders>
            <w:vAlign w:val="center"/>
          </w:tcPr>
          <w:p w14:paraId="3D46B86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D1E313F"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37F0E2CD" w14:textId="77777777" w:rsidR="00EA5290" w:rsidRPr="00A011A1" w:rsidRDefault="00EA5290" w:rsidP="00EA5290"/>
    <w:p w14:paraId="2F39B1EF" w14:textId="77777777" w:rsidR="00EA5290" w:rsidRDefault="00EA5290" w:rsidP="00EA5290">
      <w:pPr>
        <w:pStyle w:val="BodyText"/>
        <w:jc w:val="left"/>
        <w:rPr>
          <w:lang w:val="en-US"/>
        </w:rPr>
      </w:pPr>
    </w:p>
    <w:p w14:paraId="536BE109" w14:textId="77777777" w:rsidR="009C4A47" w:rsidRPr="009C4A47" w:rsidRDefault="009C4A47" w:rsidP="009C4A47">
      <w:pPr>
        <w:ind w:firstLine="142"/>
        <w:jc w:val="both"/>
        <w:rPr>
          <w:rFonts w:ascii="Arial" w:eastAsiaTheme="minorHAnsi" w:hAnsi="Arial" w:cs="Arial"/>
          <w:b/>
          <w:sz w:val="24"/>
          <w:szCs w:val="24"/>
          <w:u w:val="single"/>
        </w:rPr>
      </w:pPr>
      <w:r w:rsidRPr="009C4A47">
        <w:rPr>
          <w:rFonts w:ascii="Arial" w:eastAsiaTheme="minorHAnsi" w:hAnsi="Arial" w:cs="Arial"/>
          <w:b/>
          <w:sz w:val="24"/>
          <w:szCs w:val="24"/>
          <w:u w:val="single"/>
        </w:rPr>
        <w:t>The law which is being amended</w:t>
      </w:r>
    </w:p>
    <w:p w14:paraId="6CA4ED7C" w14:textId="77777777" w:rsidR="009C4A47" w:rsidRPr="009C4A47" w:rsidRDefault="009C4A47" w:rsidP="009C4A47">
      <w:pPr>
        <w:tabs>
          <w:tab w:val="left" w:pos="709"/>
        </w:tabs>
        <w:jc w:val="both"/>
        <w:rPr>
          <w:rFonts w:ascii="Arial" w:eastAsiaTheme="minorHAnsi" w:hAnsi="Arial" w:cs="Arial"/>
          <w:sz w:val="24"/>
          <w:szCs w:val="24"/>
          <w:u w:val="single"/>
        </w:rPr>
      </w:pPr>
    </w:p>
    <w:p w14:paraId="0E379860" w14:textId="77777777" w:rsidR="009C4A47" w:rsidRPr="009C4A47" w:rsidRDefault="009C4A47" w:rsidP="009C4A47">
      <w:pPr>
        <w:tabs>
          <w:tab w:val="left" w:pos="142"/>
        </w:tabs>
        <w:jc w:val="both"/>
        <w:rPr>
          <w:rFonts w:ascii="Arial" w:eastAsiaTheme="minorHAnsi" w:hAnsi="Arial" w:cs="Arial"/>
          <w:sz w:val="24"/>
          <w:szCs w:val="24"/>
          <w:u w:val="single"/>
        </w:rPr>
      </w:pPr>
      <w:r w:rsidRPr="009C4A47">
        <w:rPr>
          <w:rFonts w:ascii="Arial" w:eastAsiaTheme="minorHAnsi" w:hAnsi="Arial" w:cs="Arial"/>
          <w:sz w:val="24"/>
          <w:szCs w:val="24"/>
        </w:rPr>
        <w:tab/>
      </w:r>
      <w:r w:rsidRPr="009C4A47">
        <w:rPr>
          <w:rFonts w:ascii="Arial" w:eastAsiaTheme="minorHAnsi" w:hAnsi="Arial" w:cs="Arial"/>
          <w:sz w:val="24"/>
          <w:szCs w:val="24"/>
          <w:u w:val="single"/>
        </w:rPr>
        <w:t xml:space="preserve">European Directly Applicable Instruments </w:t>
      </w:r>
    </w:p>
    <w:p w14:paraId="05DD44C4" w14:textId="77777777" w:rsidR="009C4A47" w:rsidRPr="009C4A47" w:rsidRDefault="009C4A47" w:rsidP="009C4A47">
      <w:pPr>
        <w:tabs>
          <w:tab w:val="left" w:pos="709"/>
        </w:tabs>
        <w:ind w:left="720"/>
        <w:contextualSpacing/>
        <w:jc w:val="both"/>
        <w:rPr>
          <w:rFonts w:ascii="Arial" w:eastAsiaTheme="minorHAnsi" w:hAnsi="Arial" w:cs="Arial"/>
          <w:color w:val="FF0000"/>
          <w:sz w:val="24"/>
          <w:szCs w:val="24"/>
          <w:u w:val="single"/>
        </w:rPr>
      </w:pPr>
    </w:p>
    <w:p w14:paraId="14A3B4ED" w14:textId="77777777" w:rsidR="009C4A47" w:rsidRPr="009C4A47" w:rsidRDefault="009C4A47" w:rsidP="009C4A47">
      <w:pPr>
        <w:ind w:left="142"/>
        <w:jc w:val="both"/>
        <w:rPr>
          <w:rFonts w:ascii="Arial" w:hAnsi="Arial" w:cs="Arial"/>
          <w:sz w:val="24"/>
          <w:szCs w:val="24"/>
        </w:rPr>
      </w:pPr>
      <w:r w:rsidRPr="009C4A47">
        <w:rPr>
          <w:rFonts w:ascii="Arial" w:hAnsi="Arial" w:cs="Arial"/>
          <w:sz w:val="24"/>
          <w:szCs w:val="24"/>
        </w:rPr>
        <w:t xml:space="preserve">Council Regulation (EU) No 1308/2013 </w:t>
      </w:r>
    </w:p>
    <w:p w14:paraId="67609188" w14:textId="77777777" w:rsidR="009C4A47" w:rsidRPr="009C4A47" w:rsidRDefault="009C4A47" w:rsidP="009C4A47">
      <w:pPr>
        <w:ind w:firstLine="142"/>
        <w:jc w:val="both"/>
        <w:rPr>
          <w:rFonts w:ascii="Arial" w:hAnsi="Arial" w:cs="Arial"/>
          <w:sz w:val="24"/>
          <w:szCs w:val="24"/>
        </w:rPr>
      </w:pPr>
      <w:r w:rsidRPr="009C4A47">
        <w:rPr>
          <w:rFonts w:ascii="Arial" w:hAnsi="Arial" w:cs="Arial"/>
          <w:sz w:val="24"/>
          <w:szCs w:val="24"/>
        </w:rPr>
        <w:t xml:space="preserve">Council Regulation (EU) No 1370/2013  </w:t>
      </w:r>
    </w:p>
    <w:p w14:paraId="7EBBF966" w14:textId="77777777" w:rsidR="009C4A47" w:rsidRPr="009C4A47" w:rsidRDefault="009C4A47" w:rsidP="009C4A47">
      <w:pPr>
        <w:ind w:firstLine="142"/>
        <w:jc w:val="both"/>
        <w:rPr>
          <w:rFonts w:ascii="Arial" w:hAnsi="Arial" w:cs="Arial"/>
          <w:sz w:val="24"/>
          <w:szCs w:val="24"/>
        </w:rPr>
      </w:pPr>
      <w:r w:rsidRPr="009C4A47">
        <w:rPr>
          <w:rFonts w:ascii="Arial" w:hAnsi="Arial" w:cs="Arial"/>
          <w:sz w:val="24"/>
          <w:szCs w:val="24"/>
        </w:rPr>
        <w:t xml:space="preserve">Commission Regulation (EC) No 589/2008  </w:t>
      </w:r>
    </w:p>
    <w:p w14:paraId="0C5BCCF2" w14:textId="77777777" w:rsidR="009C4A47" w:rsidRPr="009C4A47" w:rsidRDefault="009C4A47" w:rsidP="009C4A47">
      <w:pPr>
        <w:ind w:firstLine="142"/>
        <w:jc w:val="both"/>
        <w:rPr>
          <w:rFonts w:ascii="Arial" w:hAnsi="Arial" w:cs="Arial"/>
          <w:sz w:val="24"/>
          <w:szCs w:val="24"/>
        </w:rPr>
      </w:pPr>
      <w:r w:rsidRPr="009C4A47">
        <w:rPr>
          <w:rFonts w:ascii="Arial" w:hAnsi="Arial" w:cs="Arial"/>
          <w:sz w:val="24"/>
          <w:szCs w:val="24"/>
        </w:rPr>
        <w:t xml:space="preserve">Commission Regulation (EC) 617/2008  </w:t>
      </w:r>
    </w:p>
    <w:p w14:paraId="38D22260" w14:textId="77777777" w:rsidR="009C4A47" w:rsidRPr="009C4A47" w:rsidRDefault="009C4A47" w:rsidP="009C4A47">
      <w:pPr>
        <w:ind w:firstLine="142"/>
        <w:jc w:val="both"/>
        <w:rPr>
          <w:rFonts w:ascii="Arial" w:hAnsi="Arial" w:cs="Arial"/>
          <w:sz w:val="24"/>
          <w:szCs w:val="24"/>
        </w:rPr>
      </w:pPr>
      <w:r w:rsidRPr="009C4A47">
        <w:rPr>
          <w:rFonts w:ascii="Arial" w:hAnsi="Arial" w:cs="Arial"/>
          <w:sz w:val="24"/>
          <w:szCs w:val="24"/>
        </w:rPr>
        <w:t>Commission Regulation (EEC) No 2568/91</w:t>
      </w:r>
    </w:p>
    <w:p w14:paraId="707D9B22" w14:textId="77777777" w:rsidR="009C4A47" w:rsidRPr="009C4A47" w:rsidRDefault="009C4A47" w:rsidP="009C4A47">
      <w:pPr>
        <w:ind w:left="142"/>
        <w:jc w:val="both"/>
        <w:rPr>
          <w:rFonts w:ascii="Arial" w:hAnsi="Arial" w:cs="Arial"/>
          <w:sz w:val="24"/>
          <w:szCs w:val="24"/>
        </w:rPr>
      </w:pPr>
      <w:r w:rsidRPr="009C4A47">
        <w:rPr>
          <w:rFonts w:ascii="Arial" w:eastAsiaTheme="minorHAnsi" w:hAnsi="Arial" w:cstheme="minorBidi"/>
          <w:sz w:val="24"/>
          <w:szCs w:val="22"/>
        </w:rPr>
        <w:t xml:space="preserve">Commission Implementing Regulation (EU) No 29/2012 </w:t>
      </w:r>
      <w:r w:rsidRPr="009C4A47">
        <w:rPr>
          <w:rFonts w:ascii="Arial" w:hAnsi="Arial" w:cs="Arial"/>
          <w:sz w:val="24"/>
          <w:szCs w:val="24"/>
        </w:rPr>
        <w:t xml:space="preserve">Commission Regulation (EC) No 543/2008  </w:t>
      </w:r>
    </w:p>
    <w:p w14:paraId="1DB55486" w14:textId="77777777" w:rsidR="009C4A47" w:rsidRPr="009C4A47" w:rsidRDefault="009C4A47" w:rsidP="009C4A47">
      <w:pPr>
        <w:ind w:left="696" w:hanging="554"/>
        <w:jc w:val="both"/>
        <w:rPr>
          <w:rFonts w:ascii="Arial" w:eastAsiaTheme="minorHAnsi" w:hAnsi="Arial" w:cstheme="minorBidi"/>
          <w:sz w:val="24"/>
          <w:szCs w:val="22"/>
        </w:rPr>
      </w:pPr>
      <w:r w:rsidRPr="009C4A47">
        <w:rPr>
          <w:rFonts w:ascii="Arial" w:eastAsiaTheme="minorHAnsi" w:hAnsi="Arial" w:cstheme="minorBidi"/>
          <w:sz w:val="24"/>
          <w:szCs w:val="22"/>
        </w:rPr>
        <w:t xml:space="preserve">Commission Delegated Regulation (EU) No 2015/1366 </w:t>
      </w:r>
    </w:p>
    <w:p w14:paraId="5078652E" w14:textId="77777777" w:rsidR="009C4A47" w:rsidRPr="009C4A47" w:rsidRDefault="009C4A47" w:rsidP="009C4A47">
      <w:pPr>
        <w:ind w:left="696" w:hanging="554"/>
        <w:jc w:val="both"/>
        <w:rPr>
          <w:rFonts w:ascii="Arial" w:eastAsiaTheme="minorHAnsi" w:hAnsi="Arial" w:cstheme="minorBidi"/>
          <w:sz w:val="24"/>
          <w:szCs w:val="22"/>
        </w:rPr>
      </w:pPr>
      <w:r w:rsidRPr="009C4A47">
        <w:rPr>
          <w:rFonts w:ascii="Arial" w:eastAsiaTheme="minorHAnsi" w:hAnsi="Arial" w:cstheme="minorBidi"/>
          <w:sz w:val="24"/>
          <w:szCs w:val="22"/>
        </w:rPr>
        <w:t xml:space="preserve">Commission Implementing Regulation (EU) No 2015/1368  </w:t>
      </w:r>
    </w:p>
    <w:p w14:paraId="35CE8102" w14:textId="77777777" w:rsidR="009C4A47" w:rsidRPr="009C4A47" w:rsidRDefault="009C4A47" w:rsidP="009C4A47">
      <w:pPr>
        <w:ind w:left="697" w:hanging="555"/>
        <w:jc w:val="both"/>
        <w:rPr>
          <w:rFonts w:ascii="Arial" w:eastAsiaTheme="minorHAnsi" w:hAnsi="Arial" w:cstheme="minorBidi"/>
          <w:sz w:val="24"/>
          <w:szCs w:val="22"/>
        </w:rPr>
      </w:pPr>
      <w:r w:rsidRPr="009C4A47">
        <w:rPr>
          <w:rFonts w:ascii="Arial" w:eastAsiaTheme="minorHAnsi" w:hAnsi="Arial" w:cstheme="minorBidi"/>
          <w:sz w:val="24"/>
          <w:szCs w:val="22"/>
        </w:rPr>
        <w:t xml:space="preserve">Commission Implementing Regulation (EU) 2017/39 </w:t>
      </w:r>
    </w:p>
    <w:p w14:paraId="4E3807C3" w14:textId="77777777" w:rsidR="009C4A47" w:rsidRPr="009C4A47" w:rsidRDefault="009C4A47" w:rsidP="009C4A47">
      <w:pPr>
        <w:ind w:left="697" w:hanging="555"/>
        <w:jc w:val="both"/>
        <w:rPr>
          <w:rFonts w:ascii="Arial" w:eastAsiaTheme="minorHAnsi" w:hAnsi="Arial" w:cstheme="minorBidi"/>
          <w:sz w:val="24"/>
          <w:szCs w:val="22"/>
        </w:rPr>
      </w:pPr>
      <w:r w:rsidRPr="009C4A47">
        <w:rPr>
          <w:rFonts w:ascii="Arial" w:eastAsiaTheme="minorHAnsi" w:hAnsi="Arial" w:cstheme="minorBidi"/>
          <w:sz w:val="24"/>
          <w:szCs w:val="22"/>
        </w:rPr>
        <w:t xml:space="preserve">Commission Delegated Regulation (EU) 2017/40  </w:t>
      </w:r>
    </w:p>
    <w:p w14:paraId="568E9C1B" w14:textId="77777777" w:rsidR="009C4A47" w:rsidRPr="009C4A47" w:rsidRDefault="009C4A47" w:rsidP="009C4A47">
      <w:pPr>
        <w:ind w:left="697" w:hanging="555"/>
        <w:jc w:val="both"/>
        <w:rPr>
          <w:rFonts w:ascii="Arial" w:eastAsiaTheme="minorHAnsi" w:hAnsi="Arial" w:cstheme="minorBidi"/>
          <w:sz w:val="24"/>
          <w:szCs w:val="22"/>
        </w:rPr>
      </w:pPr>
      <w:r w:rsidRPr="009C4A47">
        <w:rPr>
          <w:rFonts w:ascii="Arial" w:eastAsiaTheme="minorHAnsi" w:hAnsi="Arial" w:cstheme="minorBidi"/>
          <w:sz w:val="24"/>
          <w:szCs w:val="22"/>
        </w:rPr>
        <w:t>Commission Regulation (EC) No 1974/2006</w:t>
      </w:r>
    </w:p>
    <w:p w14:paraId="38079099" w14:textId="77777777" w:rsidR="009C4A47" w:rsidRPr="009C4A47" w:rsidRDefault="009C4A47" w:rsidP="009C4A47">
      <w:pPr>
        <w:ind w:left="697" w:hanging="555"/>
        <w:jc w:val="both"/>
        <w:rPr>
          <w:rFonts w:ascii="Arial" w:eastAsiaTheme="minorHAnsi" w:hAnsi="Arial" w:cstheme="minorBidi"/>
          <w:sz w:val="24"/>
          <w:szCs w:val="22"/>
        </w:rPr>
      </w:pPr>
      <w:r w:rsidRPr="009C4A47">
        <w:rPr>
          <w:rFonts w:ascii="Arial" w:eastAsiaTheme="minorHAnsi" w:hAnsi="Arial" w:cstheme="minorBidi"/>
          <w:sz w:val="24"/>
          <w:szCs w:val="22"/>
        </w:rPr>
        <w:t>Regulation (EU) No 1303/2013</w:t>
      </w:r>
    </w:p>
    <w:p w14:paraId="154320CA" w14:textId="77777777" w:rsidR="009C4A47" w:rsidRPr="009C4A47" w:rsidRDefault="009C4A47" w:rsidP="009C4A47">
      <w:pPr>
        <w:ind w:left="697" w:hanging="555"/>
        <w:jc w:val="both"/>
        <w:rPr>
          <w:rFonts w:ascii="Arial" w:eastAsiaTheme="minorHAnsi" w:hAnsi="Arial" w:cstheme="minorBidi"/>
          <w:sz w:val="24"/>
          <w:szCs w:val="22"/>
        </w:rPr>
      </w:pPr>
      <w:r w:rsidRPr="009C4A47">
        <w:rPr>
          <w:rFonts w:ascii="Arial" w:eastAsiaTheme="minorHAnsi" w:hAnsi="Arial" w:cstheme="minorBidi"/>
          <w:sz w:val="24"/>
          <w:szCs w:val="22"/>
        </w:rPr>
        <w:t>Regulation (EU) No 1305/2013</w:t>
      </w:r>
    </w:p>
    <w:p w14:paraId="4B4DABBD" w14:textId="77777777" w:rsidR="009C4A47" w:rsidRPr="009C4A47" w:rsidRDefault="009C4A47" w:rsidP="009C4A47">
      <w:pPr>
        <w:ind w:left="696" w:hanging="554"/>
        <w:jc w:val="both"/>
        <w:rPr>
          <w:rFonts w:ascii="Arial" w:eastAsiaTheme="minorHAnsi" w:hAnsi="Arial" w:cstheme="minorBidi"/>
          <w:sz w:val="24"/>
          <w:szCs w:val="22"/>
        </w:rPr>
      </w:pPr>
    </w:p>
    <w:p w14:paraId="7DC26100" w14:textId="77777777" w:rsidR="009C4A47" w:rsidRPr="009C4A47" w:rsidRDefault="009C4A47" w:rsidP="009C4A47">
      <w:pPr>
        <w:ind w:left="696" w:hanging="554"/>
        <w:jc w:val="both"/>
        <w:rPr>
          <w:rFonts w:ascii="Arial" w:eastAsiaTheme="minorHAnsi" w:hAnsi="Arial" w:cstheme="minorBidi"/>
          <w:sz w:val="24"/>
          <w:szCs w:val="22"/>
          <w:u w:val="single"/>
        </w:rPr>
      </w:pPr>
      <w:r w:rsidRPr="009C4A47">
        <w:rPr>
          <w:rFonts w:ascii="Arial" w:eastAsiaTheme="minorHAnsi" w:hAnsi="Arial" w:cstheme="minorBidi"/>
          <w:sz w:val="24"/>
          <w:szCs w:val="22"/>
          <w:u w:val="single"/>
        </w:rPr>
        <w:t>Domestic legislation</w:t>
      </w:r>
    </w:p>
    <w:p w14:paraId="25103A0F" w14:textId="77777777" w:rsidR="009C4A47" w:rsidRPr="009C4A47" w:rsidRDefault="009C4A47" w:rsidP="009C4A47">
      <w:pPr>
        <w:ind w:left="696" w:hanging="554"/>
        <w:jc w:val="both"/>
        <w:rPr>
          <w:rFonts w:ascii="Arial" w:eastAsiaTheme="minorHAnsi" w:hAnsi="Arial" w:cstheme="minorBidi"/>
          <w:sz w:val="24"/>
          <w:szCs w:val="22"/>
        </w:rPr>
      </w:pPr>
    </w:p>
    <w:p w14:paraId="7A900B11" w14:textId="77777777" w:rsidR="009C4A47" w:rsidRPr="009C4A47" w:rsidRDefault="009C4A47" w:rsidP="009C4A47">
      <w:pPr>
        <w:ind w:left="696" w:hanging="554"/>
        <w:jc w:val="both"/>
        <w:rPr>
          <w:rFonts w:ascii="Arial" w:eastAsiaTheme="minorHAnsi" w:hAnsi="Arial" w:cstheme="minorBidi"/>
          <w:sz w:val="24"/>
          <w:szCs w:val="22"/>
        </w:rPr>
      </w:pPr>
      <w:r w:rsidRPr="009C4A47">
        <w:rPr>
          <w:rFonts w:ascii="Arial" w:eastAsiaTheme="minorHAnsi" w:hAnsi="Arial" w:cstheme="minorBidi"/>
          <w:sz w:val="24"/>
          <w:szCs w:val="22"/>
        </w:rPr>
        <w:t>The Eggs and Chicks (England) Regulations 2009</w:t>
      </w:r>
    </w:p>
    <w:p w14:paraId="03057F2B" w14:textId="77777777" w:rsidR="009C4A47" w:rsidRPr="009C4A47" w:rsidRDefault="009C4A47" w:rsidP="009C4A47">
      <w:pPr>
        <w:ind w:left="696" w:hanging="554"/>
        <w:jc w:val="both"/>
        <w:rPr>
          <w:rFonts w:ascii="Arial" w:eastAsiaTheme="minorHAnsi" w:hAnsi="Arial" w:cstheme="minorBidi"/>
          <w:sz w:val="24"/>
          <w:szCs w:val="22"/>
        </w:rPr>
      </w:pPr>
      <w:r w:rsidRPr="009C4A47">
        <w:rPr>
          <w:rFonts w:ascii="Arial" w:eastAsiaTheme="minorHAnsi" w:hAnsi="Arial" w:cstheme="minorBidi"/>
          <w:sz w:val="24"/>
          <w:szCs w:val="22"/>
        </w:rPr>
        <w:t>The Poultrymeat (England) Regulations 2011</w:t>
      </w:r>
    </w:p>
    <w:p w14:paraId="04EC4EFF" w14:textId="77777777" w:rsidR="009C4A47" w:rsidRPr="009C4A47" w:rsidRDefault="009C4A47" w:rsidP="009C4A47">
      <w:pPr>
        <w:ind w:left="142"/>
        <w:jc w:val="both"/>
        <w:rPr>
          <w:rFonts w:ascii="Arial" w:eastAsiaTheme="minorHAnsi" w:hAnsi="Arial" w:cstheme="minorBidi"/>
          <w:sz w:val="24"/>
          <w:szCs w:val="22"/>
        </w:rPr>
      </w:pPr>
      <w:r w:rsidRPr="009C4A47">
        <w:rPr>
          <w:rFonts w:ascii="Arial" w:eastAsiaTheme="minorHAnsi" w:hAnsi="Arial" w:cstheme="minorBidi"/>
          <w:sz w:val="24"/>
          <w:szCs w:val="22"/>
        </w:rPr>
        <w:t>The Olive Oil (Marketing Standards) Regulations 2014 (“the Olive Oil Regulations”) (only the Olive Oil Regulations are applicable in relation to Wales).</w:t>
      </w:r>
    </w:p>
    <w:p w14:paraId="789F2CDB" w14:textId="77777777" w:rsidR="009C4A47" w:rsidRPr="009C4A47" w:rsidRDefault="009C4A47" w:rsidP="009C4A47">
      <w:pPr>
        <w:jc w:val="both"/>
        <w:rPr>
          <w:rFonts w:ascii="Arial" w:eastAsiaTheme="minorHAnsi" w:hAnsi="Arial" w:cstheme="minorBidi"/>
          <w:sz w:val="24"/>
          <w:szCs w:val="22"/>
        </w:rPr>
      </w:pPr>
    </w:p>
    <w:p w14:paraId="0D88C271" w14:textId="77777777" w:rsidR="009C4A47" w:rsidRPr="009C4A47" w:rsidRDefault="009C4A47" w:rsidP="009C4A47">
      <w:pPr>
        <w:ind w:left="142"/>
        <w:jc w:val="both"/>
        <w:rPr>
          <w:rFonts w:ascii="Arial" w:eastAsiaTheme="minorHAnsi" w:hAnsi="Arial" w:cstheme="minorBidi"/>
          <w:sz w:val="24"/>
          <w:szCs w:val="22"/>
        </w:rPr>
      </w:pPr>
      <w:r w:rsidRPr="009C4A47">
        <w:rPr>
          <w:rFonts w:ascii="Arial" w:eastAsiaTheme="minorHAnsi" w:hAnsi="Arial" w:cs="Arial"/>
          <w:b/>
          <w:sz w:val="24"/>
          <w:szCs w:val="24"/>
          <w:u w:val="single"/>
        </w:rPr>
        <w:t xml:space="preserve">Revoked EU Legislation </w:t>
      </w:r>
    </w:p>
    <w:p w14:paraId="52981B2D" w14:textId="77777777" w:rsidR="009C4A47" w:rsidRPr="009C4A47" w:rsidRDefault="009C4A47" w:rsidP="009C4A47">
      <w:pPr>
        <w:ind w:left="696" w:hanging="554"/>
        <w:jc w:val="both"/>
        <w:rPr>
          <w:rFonts w:ascii="Arial" w:eastAsia="Arial Unicode MS" w:hAnsi="Arial" w:cstheme="minorBidi"/>
          <w:sz w:val="24"/>
          <w:szCs w:val="22"/>
        </w:rPr>
      </w:pPr>
    </w:p>
    <w:p w14:paraId="30577B0B" w14:textId="77777777" w:rsidR="009C4A47" w:rsidRPr="009C4A47" w:rsidRDefault="009C4A47" w:rsidP="009C4A47">
      <w:pPr>
        <w:ind w:left="696" w:hanging="554"/>
        <w:jc w:val="both"/>
        <w:rPr>
          <w:rFonts w:ascii="Arial" w:eastAsia="Arial Unicode MS" w:hAnsi="Arial" w:cstheme="minorBidi"/>
          <w:sz w:val="24"/>
          <w:szCs w:val="22"/>
        </w:rPr>
      </w:pPr>
      <w:r w:rsidRPr="009C4A47">
        <w:rPr>
          <w:rFonts w:ascii="Arial" w:eastAsia="Arial Unicode MS" w:hAnsi="Arial" w:cstheme="minorBidi"/>
          <w:sz w:val="24"/>
          <w:szCs w:val="22"/>
        </w:rPr>
        <w:t xml:space="preserve">Commission Delegated Regulation (EU) No 611/2014 </w:t>
      </w:r>
    </w:p>
    <w:p w14:paraId="27182BD7" w14:textId="77777777" w:rsidR="009C4A47" w:rsidRPr="009C4A47" w:rsidRDefault="009C4A47" w:rsidP="009C4A47">
      <w:pPr>
        <w:ind w:left="696" w:hanging="554"/>
        <w:jc w:val="both"/>
        <w:rPr>
          <w:rFonts w:ascii="Arial" w:eastAsia="Arial Unicode MS" w:hAnsi="Arial" w:cstheme="minorBidi"/>
          <w:sz w:val="24"/>
          <w:szCs w:val="22"/>
        </w:rPr>
      </w:pPr>
      <w:r w:rsidRPr="009C4A47">
        <w:rPr>
          <w:rFonts w:ascii="Arial" w:eastAsia="Arial Unicode MS" w:hAnsi="Arial" w:cstheme="minorBidi"/>
          <w:sz w:val="24"/>
          <w:szCs w:val="22"/>
        </w:rPr>
        <w:lastRenderedPageBreak/>
        <w:t xml:space="preserve">Commission Implementing Regulation (EU) No 615/2014  </w:t>
      </w:r>
    </w:p>
    <w:p w14:paraId="65569E96" w14:textId="77777777" w:rsidR="009C4A47" w:rsidRPr="009C4A47" w:rsidRDefault="009C4A47" w:rsidP="009C4A47">
      <w:pPr>
        <w:ind w:left="720"/>
        <w:contextualSpacing/>
        <w:rPr>
          <w:rFonts w:ascii="Arial" w:eastAsiaTheme="minorHAnsi" w:hAnsi="Arial" w:cs="Arial"/>
          <w:sz w:val="24"/>
          <w:szCs w:val="24"/>
        </w:rPr>
      </w:pPr>
    </w:p>
    <w:p w14:paraId="470EC545" w14:textId="77777777" w:rsidR="009C4A47" w:rsidRPr="009C4A47" w:rsidRDefault="009C4A47" w:rsidP="009C4A47">
      <w:pPr>
        <w:ind w:left="142"/>
        <w:jc w:val="both"/>
        <w:rPr>
          <w:rFonts w:ascii="Arial" w:eastAsiaTheme="minorHAnsi" w:hAnsi="Arial" w:cs="Arial"/>
          <w:b/>
          <w:sz w:val="24"/>
          <w:szCs w:val="24"/>
        </w:rPr>
      </w:pPr>
      <w:r w:rsidRPr="009C4A47">
        <w:rPr>
          <w:rFonts w:ascii="Arial" w:eastAsiaTheme="minorHAnsi" w:hAnsi="Arial" w:cs="Arial"/>
          <w:b/>
          <w:sz w:val="24"/>
          <w:szCs w:val="24"/>
        </w:rPr>
        <w:t>Any impact the SI may have on the Assembly’s legislative competence and/or the Welsh Ministers’ executive competence</w:t>
      </w:r>
    </w:p>
    <w:p w14:paraId="1CB2CDAC" w14:textId="77777777" w:rsidR="009C4A47" w:rsidRPr="009C4A47" w:rsidRDefault="009C4A47" w:rsidP="009C4A47">
      <w:pPr>
        <w:ind w:firstLine="142"/>
        <w:outlineLvl w:val="1"/>
        <w:rPr>
          <w:rFonts w:ascii="Arial" w:hAnsi="Arial" w:cs="Arial"/>
          <w:sz w:val="24"/>
          <w:szCs w:val="24"/>
        </w:rPr>
      </w:pPr>
    </w:p>
    <w:p w14:paraId="1288FEA7" w14:textId="77777777" w:rsidR="009C4A47" w:rsidRPr="009C4A47" w:rsidRDefault="009C4A47" w:rsidP="009C4A47">
      <w:pPr>
        <w:ind w:firstLine="142"/>
        <w:outlineLvl w:val="1"/>
        <w:rPr>
          <w:rFonts w:ascii="Arial" w:hAnsi="Arial" w:cs="Arial"/>
          <w:sz w:val="24"/>
          <w:szCs w:val="24"/>
        </w:rPr>
      </w:pPr>
      <w:r w:rsidRPr="009C4A47">
        <w:rPr>
          <w:rFonts w:ascii="Arial" w:hAnsi="Arial" w:cs="Arial"/>
          <w:sz w:val="24"/>
          <w:szCs w:val="24"/>
        </w:rPr>
        <w:t>Common Market Organisation is primarily a devolved subject matter.</w:t>
      </w:r>
    </w:p>
    <w:p w14:paraId="2C9E04DE" w14:textId="77777777" w:rsidR="009C4A47" w:rsidRPr="009C4A47" w:rsidRDefault="009C4A47" w:rsidP="009C4A47">
      <w:pPr>
        <w:outlineLvl w:val="1"/>
        <w:rPr>
          <w:rFonts w:ascii="Arial" w:hAnsi="Arial" w:cs="Arial"/>
          <w:sz w:val="24"/>
          <w:szCs w:val="24"/>
        </w:rPr>
      </w:pPr>
    </w:p>
    <w:p w14:paraId="452D74F7" w14:textId="77777777" w:rsidR="009C4A47" w:rsidRPr="009C4A47" w:rsidRDefault="009C4A47" w:rsidP="009C4A47">
      <w:pPr>
        <w:ind w:left="142"/>
        <w:outlineLvl w:val="1"/>
        <w:rPr>
          <w:rFonts w:ascii="Arial" w:hAnsi="Arial" w:cs="Arial"/>
          <w:sz w:val="24"/>
          <w:szCs w:val="24"/>
        </w:rPr>
      </w:pPr>
      <w:r w:rsidRPr="009C4A47">
        <w:rPr>
          <w:rFonts w:ascii="Arial" w:hAnsi="Arial" w:cs="Arial"/>
          <w:sz w:val="24"/>
          <w:szCs w:val="24"/>
        </w:rPr>
        <w:t>The 2019 Regulations transfer both administrative and legislative functions.</w:t>
      </w:r>
    </w:p>
    <w:p w14:paraId="7BED0A08" w14:textId="77777777" w:rsidR="009C4A47" w:rsidRPr="009C4A47" w:rsidRDefault="009C4A47" w:rsidP="009C4A47">
      <w:pPr>
        <w:ind w:left="142"/>
        <w:outlineLvl w:val="1"/>
        <w:rPr>
          <w:rFonts w:ascii="Arial" w:hAnsi="Arial" w:cs="Arial"/>
          <w:sz w:val="24"/>
          <w:szCs w:val="24"/>
        </w:rPr>
      </w:pPr>
    </w:p>
    <w:p w14:paraId="4FA6E119" w14:textId="77777777" w:rsidR="009C4A47" w:rsidRPr="009C4A47" w:rsidRDefault="009C4A47" w:rsidP="009C4A47">
      <w:pPr>
        <w:ind w:left="142"/>
        <w:outlineLvl w:val="1"/>
        <w:rPr>
          <w:rFonts w:ascii="Arial" w:hAnsi="Arial" w:cs="Arial"/>
          <w:sz w:val="24"/>
          <w:szCs w:val="24"/>
        </w:rPr>
      </w:pPr>
      <w:r w:rsidRPr="009C4A47">
        <w:rPr>
          <w:rFonts w:ascii="Arial" w:hAnsi="Arial" w:cs="Arial"/>
          <w:sz w:val="24"/>
          <w:szCs w:val="24"/>
        </w:rPr>
        <w:t>Administrative functions are transferred so that they are variously exercisable by the Welsh Ministers without encumbrance; by the ‘competent authority’ without encumbrance (though the competent authority is the Welsh Ministers by virtue of the Eggs and Chicks (Wales) Regulations 2010 and the Poultrymeat (Wales) Regulations 2011); and by the Secretary of State acting alone, subject to the agreement of the Welsh Ministers, the Scottish Ministers and the Department of Agriculture, Environment and Rural Affairs.</w:t>
      </w:r>
    </w:p>
    <w:p w14:paraId="5016503A" w14:textId="77777777" w:rsidR="009C4A47" w:rsidRPr="009C4A47" w:rsidRDefault="009C4A47" w:rsidP="009C4A47">
      <w:pPr>
        <w:ind w:left="142"/>
        <w:outlineLvl w:val="1"/>
        <w:rPr>
          <w:rFonts w:ascii="Arial" w:hAnsi="Arial" w:cs="Arial"/>
          <w:sz w:val="24"/>
          <w:szCs w:val="24"/>
        </w:rPr>
      </w:pPr>
    </w:p>
    <w:p w14:paraId="03109A3D" w14:textId="77777777" w:rsidR="009C4A47" w:rsidRPr="009C4A47" w:rsidRDefault="009C4A47" w:rsidP="009C4A47">
      <w:pPr>
        <w:ind w:left="142"/>
        <w:outlineLvl w:val="1"/>
        <w:rPr>
          <w:rFonts w:ascii="Arial" w:hAnsi="Arial" w:cs="Arial"/>
          <w:sz w:val="24"/>
          <w:szCs w:val="24"/>
        </w:rPr>
      </w:pPr>
      <w:r w:rsidRPr="009C4A47">
        <w:rPr>
          <w:rFonts w:ascii="Arial" w:hAnsi="Arial" w:cs="Arial"/>
          <w:sz w:val="24"/>
          <w:szCs w:val="24"/>
        </w:rPr>
        <w:t xml:space="preserve">Legislative functions are transferred so that they are variously exercisable by the Welsh Ministers without encumbrance; by the Welsh Ministers acting alone, or by the Secretary of State where the subject matter of regulations is outside devolved competence; by the Welsh Ministers acting alone, or by the Secretary of State subject to the consent of the Welsh Ministers; and by the Secretary of State acting alone, but only with the consent of the Welsh Ministers where the subject matter of regulations is within devolved competence. </w:t>
      </w:r>
    </w:p>
    <w:p w14:paraId="2EF9CF7B" w14:textId="77777777" w:rsidR="009C4A47" w:rsidRPr="009C4A47" w:rsidRDefault="009C4A47" w:rsidP="009C4A47">
      <w:pPr>
        <w:ind w:left="142"/>
        <w:outlineLvl w:val="1"/>
        <w:rPr>
          <w:rFonts w:ascii="Arial" w:hAnsi="Arial" w:cs="Arial"/>
          <w:sz w:val="24"/>
          <w:szCs w:val="24"/>
        </w:rPr>
      </w:pPr>
    </w:p>
    <w:p w14:paraId="409979CD" w14:textId="77777777" w:rsidR="009C4A47" w:rsidRPr="009C4A47" w:rsidRDefault="009C4A47" w:rsidP="009C4A47">
      <w:pPr>
        <w:ind w:left="142"/>
        <w:jc w:val="both"/>
        <w:outlineLvl w:val="1"/>
        <w:rPr>
          <w:rFonts w:ascii="Arial" w:hAnsi="Arial" w:cs="Arial"/>
          <w:sz w:val="24"/>
          <w:szCs w:val="24"/>
        </w:rPr>
      </w:pPr>
      <w:r w:rsidRPr="009C4A47">
        <w:rPr>
          <w:rFonts w:ascii="Arial" w:hAnsi="Arial" w:cs="Arial"/>
          <w:sz w:val="24"/>
          <w:szCs w:val="24"/>
        </w:rPr>
        <w:t>Functions transferred on a concurrent basis so that they are not only exercisable by the Welsh Ministers, but also by the Secretary of State subject to the consent of the Welsh Ministers, may constitute functions of a Minister of the Crown for the purposes of Schedule 7B to the Government of Wales Act 2006. This therefore may be a relevant consideration in the context of the Assembly’s competence to legislate in future in the areas in question.</w:t>
      </w:r>
    </w:p>
    <w:p w14:paraId="5AE28F54" w14:textId="77777777" w:rsidR="009C4A47" w:rsidRPr="009C4A47" w:rsidRDefault="009C4A47" w:rsidP="009C4A47">
      <w:pPr>
        <w:ind w:left="142"/>
        <w:outlineLvl w:val="1"/>
        <w:rPr>
          <w:rFonts w:ascii="Arial" w:hAnsi="Arial" w:cs="Arial"/>
          <w:sz w:val="24"/>
          <w:szCs w:val="24"/>
        </w:rPr>
      </w:pPr>
    </w:p>
    <w:p w14:paraId="40A16BE6" w14:textId="77777777" w:rsidR="009C4A47" w:rsidRPr="009C4A47" w:rsidRDefault="009C4A47" w:rsidP="009C4A47">
      <w:pPr>
        <w:ind w:left="142"/>
        <w:jc w:val="both"/>
        <w:outlineLvl w:val="1"/>
        <w:rPr>
          <w:rFonts w:ascii="Arial" w:hAnsi="Arial" w:cs="Arial"/>
          <w:sz w:val="24"/>
          <w:szCs w:val="24"/>
        </w:rPr>
      </w:pPr>
      <w:r w:rsidRPr="009C4A47">
        <w:rPr>
          <w:rFonts w:ascii="Arial" w:hAnsi="Arial" w:cs="Arial"/>
          <w:sz w:val="24"/>
          <w:szCs w:val="24"/>
        </w:rPr>
        <w:t>Functions are transferred so that they are exercisable by the Secretary of State alone, but only subject to the consent of the Welsh Ministers, constitute functions of a Minister of the Crown for the purposes of Schedule 7B. A future Assembly Bill seeking to remove or modify these functions could trigger a requirement to consult the UK Government.</w:t>
      </w:r>
    </w:p>
    <w:p w14:paraId="0BB51CFE" w14:textId="77777777" w:rsidR="009C4A47" w:rsidRPr="009C4A47" w:rsidRDefault="009C4A47" w:rsidP="009C4A47">
      <w:pPr>
        <w:outlineLvl w:val="1"/>
        <w:rPr>
          <w:rFonts w:ascii="Arial" w:hAnsi="Arial" w:cs="Arial"/>
          <w:b/>
          <w:sz w:val="24"/>
          <w:szCs w:val="24"/>
        </w:rPr>
      </w:pPr>
    </w:p>
    <w:p w14:paraId="3E25E5DC" w14:textId="77777777" w:rsidR="009C4A47" w:rsidRPr="009C4A47" w:rsidRDefault="009C4A47" w:rsidP="009C4A47">
      <w:pPr>
        <w:ind w:left="576" w:hanging="434"/>
        <w:outlineLvl w:val="1"/>
        <w:rPr>
          <w:rFonts w:ascii="Arial" w:hAnsi="Arial" w:cs="Arial"/>
          <w:b/>
          <w:sz w:val="24"/>
          <w:szCs w:val="24"/>
        </w:rPr>
      </w:pPr>
      <w:r w:rsidRPr="009C4A47">
        <w:rPr>
          <w:rFonts w:ascii="Arial" w:hAnsi="Arial" w:cs="Arial"/>
          <w:b/>
          <w:sz w:val="24"/>
          <w:szCs w:val="24"/>
        </w:rPr>
        <w:t xml:space="preserve">The purpose of the amendments </w:t>
      </w:r>
    </w:p>
    <w:p w14:paraId="4EEFFB7E" w14:textId="77777777" w:rsidR="009C4A47" w:rsidRPr="009C4A47" w:rsidRDefault="009C4A47" w:rsidP="009C4A47">
      <w:pPr>
        <w:ind w:left="576" w:hanging="576"/>
        <w:outlineLvl w:val="1"/>
        <w:rPr>
          <w:rFonts w:ascii="Arial" w:hAnsi="Arial" w:cs="Arial"/>
          <w:b/>
          <w:sz w:val="24"/>
          <w:szCs w:val="24"/>
        </w:rPr>
      </w:pPr>
    </w:p>
    <w:p w14:paraId="678FF10E" w14:textId="77777777" w:rsidR="009C4A47" w:rsidRPr="009C4A47" w:rsidRDefault="009C4A47" w:rsidP="009C4A47">
      <w:pPr>
        <w:ind w:left="142" w:hanging="22"/>
        <w:jc w:val="both"/>
        <w:outlineLvl w:val="1"/>
        <w:rPr>
          <w:rFonts w:ascii="Arial" w:hAnsi="Arial" w:cs="Arial"/>
          <w:sz w:val="24"/>
          <w:szCs w:val="28"/>
        </w:rPr>
      </w:pPr>
      <w:r w:rsidRPr="009C4A47">
        <w:rPr>
          <w:rFonts w:ascii="Arial" w:hAnsi="Arial" w:cs="Arial"/>
          <w:sz w:val="24"/>
          <w:szCs w:val="28"/>
        </w:rPr>
        <w:t xml:space="preserve">The 2019 Regulations amends retained European Union (“EU”) legislation relating to the common organisation of agricultural markets (“Common Market Organisation” or “CMO”) with a common objective of, directly or indirectly, supporting prices received by agricultural producers. This Instrument will address operability issues created by the United Kingdom (“UK”) leaving the EU. The 2019 Regulations will ensure that the CMO can continue to operate effectively after EU Exit. </w:t>
      </w:r>
    </w:p>
    <w:p w14:paraId="181F8F96" w14:textId="77777777" w:rsidR="009C4A47" w:rsidRPr="009C4A47" w:rsidRDefault="009C4A47" w:rsidP="009C4A47">
      <w:pPr>
        <w:ind w:left="142" w:hanging="22"/>
        <w:jc w:val="both"/>
        <w:outlineLvl w:val="1"/>
        <w:rPr>
          <w:rFonts w:ascii="Arial" w:hAnsi="Arial" w:cs="Arial"/>
          <w:sz w:val="24"/>
          <w:szCs w:val="28"/>
        </w:rPr>
      </w:pPr>
    </w:p>
    <w:p w14:paraId="0DD43DBE" w14:textId="77777777" w:rsidR="009C4A47" w:rsidRPr="009C4A47" w:rsidRDefault="009C4A47" w:rsidP="009C4A47">
      <w:pPr>
        <w:ind w:left="142" w:hanging="22"/>
        <w:jc w:val="both"/>
        <w:outlineLvl w:val="1"/>
        <w:rPr>
          <w:rFonts w:ascii="Arial" w:hAnsi="Arial" w:cs="Arial"/>
          <w:sz w:val="24"/>
          <w:szCs w:val="28"/>
        </w:rPr>
      </w:pPr>
      <w:r w:rsidRPr="009C4A47">
        <w:rPr>
          <w:rFonts w:ascii="Arial" w:hAnsi="Arial" w:cs="Arial"/>
          <w:sz w:val="24"/>
          <w:szCs w:val="28"/>
        </w:rPr>
        <w:t xml:space="preserve">The 2019 Regulations also makes minor amendments to retained EU law relating to support for rural development and the maritime and fisheries fund. </w:t>
      </w:r>
    </w:p>
    <w:p w14:paraId="22516A1B" w14:textId="77777777" w:rsidR="009C4A47" w:rsidRPr="009C4A47" w:rsidRDefault="009C4A47" w:rsidP="009C4A47">
      <w:pPr>
        <w:ind w:left="696" w:hanging="576"/>
        <w:jc w:val="both"/>
        <w:outlineLvl w:val="1"/>
        <w:rPr>
          <w:rFonts w:ascii="Arial" w:hAnsi="Arial" w:cs="Arial"/>
          <w:sz w:val="24"/>
          <w:szCs w:val="24"/>
        </w:rPr>
      </w:pPr>
    </w:p>
    <w:p w14:paraId="28605D9C" w14:textId="77777777" w:rsidR="009C4A47" w:rsidRPr="009C4A47" w:rsidRDefault="009C4A47" w:rsidP="009C4A47">
      <w:pPr>
        <w:ind w:left="142" w:hanging="22"/>
        <w:jc w:val="both"/>
        <w:outlineLvl w:val="1"/>
        <w:rPr>
          <w:rFonts w:ascii="Arial" w:hAnsi="Arial" w:cs="Arial"/>
          <w:sz w:val="24"/>
          <w:szCs w:val="24"/>
        </w:rPr>
      </w:pPr>
      <w:r w:rsidRPr="009C4A47">
        <w:rPr>
          <w:rFonts w:ascii="Arial" w:hAnsi="Arial" w:cs="Arial"/>
          <w:sz w:val="24"/>
          <w:szCs w:val="24"/>
        </w:rPr>
        <w:lastRenderedPageBreak/>
        <w:t xml:space="preserve">These 2019 Regulations make amendments to retained directly applicable EU legislation in relation to food marketing standards. The 2019 Regulations will ensure marketing standards in the food sector will be operable following the UK’s exit from the EU. The objective is to maintain all existing marketing standards relevant for the UK market on Day 1. </w:t>
      </w:r>
    </w:p>
    <w:p w14:paraId="13F3EE4F" w14:textId="77777777" w:rsidR="009C4A47" w:rsidRPr="009C4A47" w:rsidRDefault="009C4A47" w:rsidP="009C4A47">
      <w:pPr>
        <w:ind w:left="696" w:hanging="576"/>
        <w:jc w:val="both"/>
        <w:outlineLvl w:val="1"/>
        <w:rPr>
          <w:rFonts w:ascii="Arial" w:hAnsi="Arial" w:cs="Arial"/>
          <w:sz w:val="24"/>
          <w:szCs w:val="24"/>
        </w:rPr>
      </w:pPr>
    </w:p>
    <w:p w14:paraId="100A0EDD" w14:textId="77777777" w:rsidR="009C4A47" w:rsidRPr="009C4A47" w:rsidRDefault="009C4A47" w:rsidP="009C4A47">
      <w:pPr>
        <w:ind w:left="120"/>
        <w:jc w:val="both"/>
        <w:outlineLvl w:val="1"/>
        <w:rPr>
          <w:rFonts w:ascii="Arial" w:hAnsi="Arial" w:cs="Arial"/>
          <w:sz w:val="24"/>
          <w:szCs w:val="24"/>
        </w:rPr>
      </w:pPr>
      <w:r w:rsidRPr="009C4A47">
        <w:rPr>
          <w:rFonts w:ascii="Arial" w:hAnsi="Arial" w:cs="Arial"/>
          <w:sz w:val="24"/>
          <w:szCs w:val="24"/>
        </w:rPr>
        <w:t>After EU Exit and without amendment, the above retained EU legislation would contain inoperable provisions that would prevent the delivery of market support schemes to the agricultural sector.</w:t>
      </w:r>
    </w:p>
    <w:p w14:paraId="6CE8F6AB" w14:textId="77777777" w:rsidR="009C4A47" w:rsidRPr="009C4A47" w:rsidRDefault="009C4A47" w:rsidP="009C4A47">
      <w:pPr>
        <w:jc w:val="both"/>
        <w:outlineLvl w:val="1"/>
        <w:rPr>
          <w:rFonts w:ascii="Arial" w:hAnsi="Arial" w:cs="Arial"/>
          <w:b/>
          <w:sz w:val="24"/>
          <w:szCs w:val="24"/>
        </w:rPr>
      </w:pPr>
    </w:p>
    <w:p w14:paraId="404BFBC7" w14:textId="77777777" w:rsidR="009C4A47" w:rsidRPr="009C4A47" w:rsidRDefault="009C4A47" w:rsidP="009C4A47">
      <w:pPr>
        <w:ind w:left="120"/>
        <w:jc w:val="both"/>
        <w:rPr>
          <w:rFonts w:ascii="Arial" w:eastAsiaTheme="minorHAnsi" w:hAnsi="Arial" w:cs="Arial"/>
          <w:color w:val="0000FF" w:themeColor="hyperlink"/>
          <w:sz w:val="24"/>
          <w:szCs w:val="24"/>
          <w:u w:val="single"/>
        </w:rPr>
      </w:pPr>
      <w:r w:rsidRPr="009C4A47">
        <w:rPr>
          <w:rFonts w:ascii="Arial" w:eastAsiaTheme="minorHAnsi" w:hAnsi="Arial" w:cs="Arial"/>
          <w:sz w:val="24"/>
          <w:szCs w:val="24"/>
        </w:rPr>
        <w:t xml:space="preserve">The Regulations and accompanying Explanatory Memorandum, setting out the effect of amendments is available here: </w:t>
      </w:r>
      <w:hyperlink r:id="rId11" w:history="1">
        <w:r w:rsidRPr="009C4A47">
          <w:rPr>
            <w:rFonts w:ascii="Arial" w:eastAsiaTheme="minorHAnsi" w:hAnsi="Arial" w:cs="Arial"/>
            <w:color w:val="0000FF" w:themeColor="hyperlink"/>
            <w:sz w:val="24"/>
            <w:szCs w:val="24"/>
            <w:u w:val="single"/>
          </w:rPr>
          <w:t>https://www.gov.uk/eu-withdrawal-act-2018-statutory-instruments</w:t>
        </w:r>
      </w:hyperlink>
    </w:p>
    <w:p w14:paraId="3E06CC4C" w14:textId="77777777" w:rsidR="009C4A47" w:rsidRPr="009C4A47" w:rsidRDefault="009C4A47" w:rsidP="009C4A47">
      <w:pPr>
        <w:ind w:firstLine="120"/>
        <w:jc w:val="both"/>
        <w:rPr>
          <w:rFonts w:ascii="Arial" w:eastAsiaTheme="minorHAnsi" w:hAnsi="Arial" w:cs="Arial"/>
          <w:b/>
          <w:sz w:val="24"/>
          <w:szCs w:val="24"/>
        </w:rPr>
      </w:pPr>
    </w:p>
    <w:p w14:paraId="25D852A2" w14:textId="77777777" w:rsidR="009C4A47" w:rsidRPr="009C4A47" w:rsidRDefault="009C4A47" w:rsidP="009C4A47">
      <w:pPr>
        <w:ind w:firstLine="120"/>
        <w:jc w:val="both"/>
        <w:rPr>
          <w:rFonts w:ascii="Arial" w:eastAsiaTheme="minorHAnsi" w:hAnsi="Arial" w:cs="Arial"/>
          <w:b/>
          <w:sz w:val="24"/>
          <w:szCs w:val="24"/>
        </w:rPr>
      </w:pPr>
      <w:r w:rsidRPr="009C4A47">
        <w:rPr>
          <w:rFonts w:ascii="Arial" w:eastAsiaTheme="minorHAnsi" w:hAnsi="Arial" w:cs="Arial"/>
          <w:b/>
          <w:sz w:val="24"/>
          <w:szCs w:val="24"/>
        </w:rPr>
        <w:t>Why consent was given</w:t>
      </w:r>
    </w:p>
    <w:p w14:paraId="76E6CE37" w14:textId="77777777" w:rsidR="009C4A47" w:rsidRPr="009C4A47" w:rsidRDefault="009C4A47" w:rsidP="009C4A47">
      <w:pPr>
        <w:ind w:left="142"/>
        <w:jc w:val="both"/>
        <w:rPr>
          <w:rFonts w:ascii="Arial" w:eastAsiaTheme="minorHAnsi" w:hAnsi="Arial" w:cs="Arial"/>
          <w:sz w:val="24"/>
          <w:szCs w:val="24"/>
        </w:rPr>
      </w:pPr>
      <w:r w:rsidRPr="009C4A47">
        <w:rPr>
          <w:rFonts w:ascii="Arial" w:eastAsiaTheme="minorHAnsi"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w:t>
      </w:r>
    </w:p>
    <w:p w14:paraId="0F820B1F" w14:textId="77777777" w:rsidR="00A845A9" w:rsidRDefault="00A845A9" w:rsidP="009C4A47"/>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0B653" w14:textId="77777777" w:rsidR="00100845" w:rsidRDefault="00100845">
      <w:r>
        <w:separator/>
      </w:r>
    </w:p>
  </w:endnote>
  <w:endnote w:type="continuationSeparator" w:id="0">
    <w:p w14:paraId="64B73A35" w14:textId="77777777" w:rsidR="00100845" w:rsidRDefault="0010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D0C98"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68F3EB"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D9FE"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0905">
      <w:rPr>
        <w:rStyle w:val="PageNumber"/>
        <w:noProof/>
      </w:rPr>
      <w:t>2</w:t>
    </w:r>
    <w:r>
      <w:rPr>
        <w:rStyle w:val="PageNumber"/>
      </w:rPr>
      <w:fldChar w:fldCharType="end"/>
    </w:r>
  </w:p>
  <w:p w14:paraId="05ECAC29"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EC4E4" w14:textId="77777777"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40905">
      <w:rPr>
        <w:rStyle w:val="PageNumber"/>
        <w:rFonts w:ascii="Arial" w:hAnsi="Arial" w:cs="Arial"/>
        <w:noProof/>
        <w:sz w:val="24"/>
        <w:szCs w:val="24"/>
      </w:rPr>
      <w:t>1</w:t>
    </w:r>
    <w:r w:rsidRPr="005D2A41">
      <w:rPr>
        <w:rStyle w:val="PageNumber"/>
        <w:rFonts w:ascii="Arial" w:hAnsi="Arial" w:cs="Arial"/>
        <w:sz w:val="24"/>
        <w:szCs w:val="24"/>
      </w:rPr>
      <w:fldChar w:fldCharType="end"/>
    </w:r>
  </w:p>
  <w:p w14:paraId="6DA43884"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5E3F6" w14:textId="77777777" w:rsidR="00100845" w:rsidRDefault="00100845">
      <w:r>
        <w:separator/>
      </w:r>
    </w:p>
  </w:footnote>
  <w:footnote w:type="continuationSeparator" w:id="0">
    <w:p w14:paraId="376EDA4B" w14:textId="77777777" w:rsidR="00100845" w:rsidRDefault="00100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B5D4E" w14:textId="77777777" w:rsidR="0057543A" w:rsidRDefault="0057543A">
    <w:r>
      <w:rPr>
        <w:noProof/>
        <w:lang w:eastAsia="en-GB"/>
      </w:rPr>
      <w:drawing>
        <wp:anchor distT="0" distB="0" distL="114300" distR="114300" simplePos="0" relativeHeight="251657728" behindDoc="1" locked="0" layoutInCell="1" allowOverlap="1" wp14:anchorId="79004E88" wp14:editId="1BD1B0B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7975BDF" w14:textId="77777777" w:rsidR="0057543A" w:rsidRDefault="0057543A">
    <w:pPr>
      <w:pStyle w:val="Header"/>
    </w:pPr>
  </w:p>
  <w:p w14:paraId="54AC2817"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00845"/>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D722E"/>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C4A47"/>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0905"/>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24B449"/>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u-withdrawal-act-2018-statutory-instrument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A27110616</value>
    </field>
    <field name="Objective-Title">
      <value order="0">7 August 2019 - written statement - The Common Organisation of the Markets in Agricultural Products and Common Agricultural Policy  Regulations</value>
    </field>
    <field name="Objective-Description">
      <value order="0"/>
    </field>
    <field name="Objective-CreationStamp">
      <value order="0">2019-08-07T13:59:48Z</value>
    </field>
    <field name="Objective-IsApproved">
      <value order="0">false</value>
    </field>
    <field name="Objective-IsPublished">
      <value order="0">true</value>
    </field>
    <field name="Objective-DatePublished">
      <value order="0">2019-08-07T14:14:07Z</value>
    </field>
    <field name="Objective-ModificationStamp">
      <value order="0">2019-08-07T14:14:07Z</value>
    </field>
    <field name="Objective-Owner">
      <value order="0">Minshall-Jones, Victoria (OFMCO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vA53922472</value>
    </field>
    <field name="Objective-Version">
      <value order="0">1.0</value>
    </field>
    <field name="Objective-VersionNumber">
      <value order="0">2</value>
    </field>
    <field name="Objective-VersionComment">
      <value order="0">Version 2</value>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2019-08-06T23:00:00Z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2019-08-05T23:00:00+00:00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CABA9A5-E650-4E9C-9881-53441167FDF6}"/>
</file>

<file path=customXml/itemProps3.xml><?xml version="1.0" encoding="utf-8"?>
<ds:datastoreItem xmlns:ds="http://schemas.openxmlformats.org/officeDocument/2006/customXml" ds:itemID="{E748E2C7-3B27-4CE9-8570-77ABEF312DF4}">
  <ds:schemaRefs>
    <ds:schemaRef ds:uri="http://schemas.microsoft.com/sharepoint/v3/contenttype/forms"/>
  </ds:schemaRefs>
</ds:datastoreItem>
</file>

<file path=customXml/itemProps4.xml><?xml version="1.0" encoding="utf-8"?>
<ds:datastoreItem xmlns:ds="http://schemas.openxmlformats.org/officeDocument/2006/customXml" ds:itemID="{D4B2FB9B-3959-4A0D-B877-0E30C0EF4217}">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4590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Organisation of the Markets in Agricultural Products and Common Agricultural Policy (Miscellaneous Amendments etc.) (EU Exit) (No. 2) Regulations 2019</dc:title>
  <dc:creator>burnsc</dc:creator>
  <cp:lastModifiedBy>Oxenham, James (OFM - Cabinet Division)</cp:lastModifiedBy>
  <cp:revision>2</cp:revision>
  <cp:lastPrinted>2011-05-27T10:19:00Z</cp:lastPrinted>
  <dcterms:created xsi:type="dcterms:W3CDTF">2019-08-08T11:02:00Z</dcterms:created>
  <dcterms:modified xsi:type="dcterms:W3CDTF">2019-08-08T11:02:00Z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A27110616</vt:lpwstr>
  </property>
  <property fmtid="{D5CDD505-2E9C-101B-9397-08002B2CF9AE}" pid="4" name="Objective-Title">
    <vt:lpwstr>7 August 2019 - written statement - The Common Organisation of the Markets in Agricultural Products and Common Agricultural Policy  Regulations</vt:lpwstr>
  </property>
  <property fmtid="{D5CDD505-2E9C-101B-9397-08002B2CF9AE}" pid="5" name="Objective-Comment">
    <vt:lpwstr/>
  </property>
  <property fmtid="{D5CDD505-2E9C-101B-9397-08002B2CF9AE}" pid="6" name="Objective-CreationStamp">
    <vt:filetime>2019-08-07T14:00:07Z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2019-08-07T14:14:07Z</vt:filetime>
  </property>
  <property fmtid="{D5CDD505-2E9C-101B-9397-08002B2CF9AE}" pid="10" name="Objective-ModificationStamp">
    <vt:filetime>2019-08-07T14:14:07Z</vt:filetime>
  </property>
  <property fmtid="{D5CDD505-2E9C-101B-9397-08002B2CF9AE}" pid="11" name="Objective-Owner">
    <vt:lpwstr>Minshall-Jones, Victoria (OFMCO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vA53922472</vt:lpwstr>
  </property>
  <property fmtid="{D5CDD505-2E9C-101B-9397-08002B2CF9AE}" pid="28" name="Objective-Language">
    <vt:lpwstr>English (eng)</vt:lpwstr>
  </property>
  <property fmtid="{D5CDD505-2E9C-101B-9397-08002B2CF9AE}" pid="29" name="Objective-Date Acquired">
    <vt:filetime>2019-08-06T23:00:00Z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