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56" w:rsidRDefault="00867556" w:rsidP="006B59B5">
      <w:pPr>
        <w:rPr>
          <w:rFonts w:ascii="Arial" w:hAnsi="Arial" w:cs="Arial"/>
          <w:b/>
        </w:rPr>
      </w:pPr>
    </w:p>
    <w:p w:rsidR="00867556" w:rsidRDefault="00867556" w:rsidP="006B59B5">
      <w:pPr>
        <w:rPr>
          <w:rFonts w:ascii="Arial" w:hAnsi="Arial" w:cs="Arial"/>
          <w:b/>
        </w:rPr>
      </w:pPr>
    </w:p>
    <w:p w:rsidR="006E06B1" w:rsidRDefault="00991843" w:rsidP="006B59B5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CC998A" wp14:editId="6A2B2D14">
            <wp:simplePos x="0" y="0"/>
            <wp:positionH relativeFrom="column">
              <wp:posOffset>4055110</wp:posOffset>
            </wp:positionH>
            <wp:positionV relativeFrom="paragraph">
              <wp:posOffset>-1069340</wp:posOffset>
            </wp:positionV>
            <wp:extent cx="1476375" cy="1400175"/>
            <wp:effectExtent l="0" t="0" r="9525" b="9525"/>
            <wp:wrapNone/>
            <wp:docPr id="8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B1" w:rsidRDefault="006E06B1" w:rsidP="006B59B5">
      <w:pPr>
        <w:rPr>
          <w:rFonts w:ascii="Arial" w:hAnsi="Arial" w:cs="Arial"/>
          <w:b/>
        </w:rPr>
      </w:pPr>
    </w:p>
    <w:p w:rsidR="006E06B1" w:rsidRDefault="006E06B1" w:rsidP="006B59B5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8720"/>
      </w:tblGrid>
      <w:tr w:rsidR="00270AA7" w:rsidRPr="00CF0BF9" w:rsidTr="006B59B5">
        <w:trPr>
          <w:cantSplit/>
          <w:jc w:val="center"/>
        </w:trPr>
        <w:tc>
          <w:tcPr>
            <w:tcW w:w="872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:rsidR="003B0B54" w:rsidRDefault="003B0B54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:rsidR="00270AA7" w:rsidRPr="00CF0BF9" w:rsidRDefault="00270AA7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CF0BF9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:rsidR="00270AA7" w:rsidRPr="00CF0BF9" w:rsidRDefault="00270AA7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CF0BF9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:rsidR="00270AA7" w:rsidRPr="00CF0BF9" w:rsidRDefault="00270AA7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CF0BF9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:rsidR="00270AA7" w:rsidRPr="00CF0BF9" w:rsidRDefault="00270AA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270AA7" w:rsidRPr="00CF0BF9" w:rsidRDefault="00270AA7" w:rsidP="00270AA7">
      <w:pPr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371"/>
      </w:tblGrid>
      <w:tr w:rsidR="00270AA7" w:rsidTr="00270AA7">
        <w:tc>
          <w:tcPr>
            <w:tcW w:w="1383" w:type="dxa"/>
            <w:hideMark/>
          </w:tcPr>
          <w:p w:rsidR="00270AA7" w:rsidRPr="003E1B07" w:rsidRDefault="00270AA7" w:rsidP="003E1B0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E1B07">
              <w:rPr>
                <w:rFonts w:ascii="Arial" w:hAnsi="Arial" w:cs="Arial"/>
                <w:b/>
                <w:bCs/>
              </w:rPr>
              <w:t xml:space="preserve">TITLE </w:t>
            </w:r>
          </w:p>
        </w:tc>
        <w:tc>
          <w:tcPr>
            <w:tcW w:w="7371" w:type="dxa"/>
            <w:vAlign w:val="center"/>
            <w:hideMark/>
          </w:tcPr>
          <w:p w:rsidR="00270AA7" w:rsidRPr="003E1B07" w:rsidRDefault="00270AA7" w:rsidP="003E1B07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3E1B07">
              <w:rPr>
                <w:rFonts w:ascii="Arial" w:hAnsi="Arial"/>
                <w:b/>
                <w:bCs/>
              </w:rPr>
              <w:t xml:space="preserve">Targeted High Street Rates Relief Scheme </w:t>
            </w:r>
            <w:r w:rsidR="005C75AE" w:rsidRPr="003E1B07">
              <w:rPr>
                <w:rFonts w:ascii="Arial" w:hAnsi="Arial"/>
                <w:b/>
                <w:bCs/>
              </w:rPr>
              <w:t>2018-19</w:t>
            </w:r>
          </w:p>
        </w:tc>
      </w:tr>
      <w:tr w:rsidR="00270AA7" w:rsidTr="00270AA7">
        <w:tc>
          <w:tcPr>
            <w:tcW w:w="1383" w:type="dxa"/>
            <w:hideMark/>
          </w:tcPr>
          <w:p w:rsidR="00270AA7" w:rsidRPr="003E1B07" w:rsidRDefault="00270AA7" w:rsidP="003E1B0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E1B07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7371" w:type="dxa"/>
            <w:vAlign w:val="center"/>
            <w:hideMark/>
          </w:tcPr>
          <w:p w:rsidR="00270AA7" w:rsidRPr="003E1B07" w:rsidRDefault="002E5DC7" w:rsidP="007653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E1B07">
              <w:rPr>
                <w:rFonts w:ascii="Arial" w:hAnsi="Arial" w:cs="Arial"/>
                <w:b/>
                <w:bCs/>
                <w:kern w:val="32"/>
              </w:rPr>
              <w:t>1</w:t>
            </w:r>
            <w:r w:rsidR="0076537A">
              <w:rPr>
                <w:rFonts w:ascii="Arial" w:hAnsi="Arial" w:cs="Arial"/>
                <w:b/>
                <w:bCs/>
                <w:kern w:val="32"/>
              </w:rPr>
              <w:t>5</w:t>
            </w:r>
            <w:bookmarkStart w:id="0" w:name="_GoBack"/>
            <w:bookmarkEnd w:id="0"/>
            <w:r w:rsidR="00270AA7" w:rsidRPr="003E1B07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  <w:r w:rsidR="003F1F79" w:rsidRPr="003E1B07">
              <w:rPr>
                <w:rFonts w:ascii="Arial" w:hAnsi="Arial" w:cs="Arial"/>
                <w:b/>
                <w:bCs/>
                <w:kern w:val="32"/>
              </w:rPr>
              <w:t>March</w:t>
            </w:r>
            <w:r w:rsidR="00270AA7" w:rsidRPr="003E1B07">
              <w:rPr>
                <w:rFonts w:ascii="Arial" w:hAnsi="Arial" w:cs="Arial"/>
                <w:b/>
                <w:bCs/>
                <w:kern w:val="32"/>
              </w:rPr>
              <w:t xml:space="preserve"> 201</w:t>
            </w:r>
            <w:r w:rsidR="005C75AE" w:rsidRPr="003E1B07">
              <w:rPr>
                <w:rFonts w:ascii="Arial" w:hAnsi="Arial" w:cs="Arial"/>
                <w:b/>
                <w:bCs/>
                <w:kern w:val="32"/>
              </w:rPr>
              <w:t>8</w:t>
            </w:r>
          </w:p>
        </w:tc>
      </w:tr>
      <w:tr w:rsidR="00270AA7" w:rsidTr="00270AA7">
        <w:tc>
          <w:tcPr>
            <w:tcW w:w="1383" w:type="dxa"/>
            <w:hideMark/>
          </w:tcPr>
          <w:p w:rsidR="00270AA7" w:rsidRPr="003E1B07" w:rsidRDefault="00270AA7" w:rsidP="003E1B0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E1B07">
              <w:rPr>
                <w:rFonts w:ascii="Arial" w:hAnsi="Arial" w:cs="Arial"/>
                <w:b/>
                <w:bCs/>
              </w:rPr>
              <w:t xml:space="preserve">BY </w:t>
            </w:r>
          </w:p>
        </w:tc>
        <w:tc>
          <w:tcPr>
            <w:tcW w:w="7371" w:type="dxa"/>
            <w:vAlign w:val="center"/>
            <w:hideMark/>
          </w:tcPr>
          <w:p w:rsidR="00270AA7" w:rsidRPr="003E1B07" w:rsidRDefault="00270AA7" w:rsidP="003E1B0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E1B07">
              <w:rPr>
                <w:rFonts w:ascii="Arial" w:hAnsi="Arial" w:cs="Arial"/>
                <w:b/>
                <w:bCs/>
              </w:rPr>
              <w:t>Mark Drakeford AM</w:t>
            </w:r>
            <w:r w:rsidR="003E1B07" w:rsidRPr="003E1B07">
              <w:rPr>
                <w:rFonts w:ascii="Arial" w:hAnsi="Arial" w:cs="Arial"/>
                <w:b/>
                <w:bCs/>
              </w:rPr>
              <w:t xml:space="preserve">, </w:t>
            </w:r>
            <w:r w:rsidRPr="003E1B07">
              <w:rPr>
                <w:rFonts w:ascii="Arial" w:hAnsi="Arial" w:cs="Arial"/>
                <w:b/>
                <w:bCs/>
              </w:rPr>
              <w:t>Cabinet Secretary for Finance</w:t>
            </w:r>
          </w:p>
        </w:tc>
      </w:tr>
    </w:tbl>
    <w:p w:rsidR="00B52C1C" w:rsidRPr="00270AA7" w:rsidRDefault="00B52C1C" w:rsidP="003F7DFD">
      <w:pPr>
        <w:jc w:val="both"/>
        <w:rPr>
          <w:rFonts w:ascii="Arial" w:hAnsi="Arial" w:cs="Arial"/>
        </w:rPr>
      </w:pPr>
    </w:p>
    <w:p w:rsidR="008A5B99" w:rsidRDefault="008A5B99" w:rsidP="00CF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lang w:val="en"/>
        </w:rPr>
        <w:t>13 December 2017</w:t>
      </w:r>
      <w:r w:rsidR="009E796A">
        <w:rPr>
          <w:rFonts w:ascii="Arial" w:hAnsi="Arial" w:cs="Arial"/>
          <w:lang w:val="en"/>
        </w:rPr>
        <w:t>,</w:t>
      </w:r>
      <w:r>
        <w:rPr>
          <w:rFonts w:ascii="Arial" w:hAnsi="Arial" w:cs="Arial"/>
          <w:lang w:val="en"/>
        </w:rPr>
        <w:t xml:space="preserve"> I announced an extra £5 million of support would be made available to </w:t>
      </w:r>
      <w:r w:rsidR="00CB0F6E">
        <w:rPr>
          <w:rFonts w:ascii="Arial" w:hAnsi="Arial" w:cs="Arial"/>
          <w:lang w:val="en"/>
        </w:rPr>
        <w:t>extend</w:t>
      </w:r>
      <w:r>
        <w:rPr>
          <w:rFonts w:ascii="Arial" w:hAnsi="Arial" w:cs="Arial"/>
          <w:lang w:val="en"/>
        </w:rPr>
        <w:t xml:space="preserve"> </w:t>
      </w:r>
      <w:r w:rsidR="009E796A">
        <w:rPr>
          <w:rFonts w:ascii="Arial" w:hAnsi="Arial" w:cs="Arial"/>
          <w:lang w:val="en"/>
        </w:rPr>
        <w:t xml:space="preserve">our </w:t>
      </w:r>
      <w:r>
        <w:rPr>
          <w:rFonts w:ascii="Arial" w:hAnsi="Arial" w:cs="Arial"/>
          <w:lang w:val="en"/>
        </w:rPr>
        <w:t>High Street Rate</w:t>
      </w:r>
      <w:r w:rsidR="009E796A">
        <w:rPr>
          <w:rFonts w:ascii="Arial" w:hAnsi="Arial" w:cs="Arial"/>
          <w:lang w:val="en"/>
        </w:rPr>
        <w:t>s</w:t>
      </w:r>
      <w:r>
        <w:rPr>
          <w:rFonts w:ascii="Arial" w:hAnsi="Arial" w:cs="Arial"/>
          <w:lang w:val="en"/>
        </w:rPr>
        <w:t xml:space="preserve"> Relief scheme</w:t>
      </w:r>
      <w:r w:rsidR="00603E47">
        <w:rPr>
          <w:rFonts w:ascii="Arial" w:hAnsi="Arial" w:cs="Arial"/>
          <w:lang w:val="en"/>
        </w:rPr>
        <w:t xml:space="preserve"> for one further year</w:t>
      </w:r>
      <w:r w:rsidR="009E796A">
        <w:rPr>
          <w:rFonts w:ascii="Arial" w:hAnsi="Arial" w:cs="Arial"/>
          <w:lang w:val="en"/>
        </w:rPr>
        <w:t xml:space="preserve"> into 2018-19</w:t>
      </w:r>
      <w:r>
        <w:rPr>
          <w:rFonts w:ascii="Arial" w:hAnsi="Arial" w:cs="Arial"/>
          <w:lang w:val="en"/>
        </w:rPr>
        <w:t>.</w:t>
      </w:r>
    </w:p>
    <w:p w:rsidR="008A5B99" w:rsidRPr="00270AA7" w:rsidRDefault="008A5B99" w:rsidP="00CF0BF9">
      <w:pPr>
        <w:rPr>
          <w:rFonts w:ascii="Arial" w:hAnsi="Arial" w:cs="Arial"/>
        </w:rPr>
      </w:pPr>
    </w:p>
    <w:p w:rsidR="009E796A" w:rsidRDefault="009E796A" w:rsidP="009E7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High Street Rates Relief scheme is </w:t>
      </w:r>
      <w:r w:rsidRPr="00270AA7">
        <w:rPr>
          <w:rFonts w:ascii="Arial" w:hAnsi="Arial" w:cs="Arial"/>
        </w:rPr>
        <w:t>unique to Wales and will provide support to</w:t>
      </w:r>
      <w:r>
        <w:rPr>
          <w:rFonts w:ascii="Arial" w:hAnsi="Arial" w:cs="Arial"/>
        </w:rPr>
        <w:t xml:space="preserve"> around 13,000 small and medium</w:t>
      </w:r>
      <w:r w:rsidR="00440E61">
        <w:rPr>
          <w:rFonts w:ascii="Arial" w:hAnsi="Arial" w:cs="Arial"/>
        </w:rPr>
        <w:t>-sized</w:t>
      </w:r>
      <w:r>
        <w:rPr>
          <w:rFonts w:ascii="Arial" w:hAnsi="Arial" w:cs="Arial"/>
        </w:rPr>
        <w:t xml:space="preserve"> </w:t>
      </w:r>
      <w:r w:rsidRPr="00270AA7">
        <w:rPr>
          <w:rFonts w:ascii="Arial" w:hAnsi="Arial" w:cs="Arial"/>
        </w:rPr>
        <w:t>business</w:t>
      </w:r>
      <w:r>
        <w:rPr>
          <w:rFonts w:ascii="Arial" w:hAnsi="Arial" w:cs="Arial"/>
        </w:rPr>
        <w:t>es across the country in 2018-19</w:t>
      </w:r>
      <w:r w:rsidRPr="00270A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It is fully funded by the Welsh Government.</w:t>
      </w:r>
    </w:p>
    <w:p w:rsidR="009E796A" w:rsidRDefault="009E796A" w:rsidP="00CF0BF9">
      <w:pPr>
        <w:autoSpaceDE w:val="0"/>
        <w:autoSpaceDN w:val="0"/>
        <w:adjustRightInd w:val="0"/>
        <w:rPr>
          <w:rFonts w:ascii="Arial" w:hAnsi="Arial" w:cs="Arial"/>
        </w:rPr>
      </w:pPr>
    </w:p>
    <w:p w:rsidR="00B60832" w:rsidRPr="00270AA7" w:rsidRDefault="009E796A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 2018-19, </w:t>
      </w:r>
      <w:r w:rsidR="000746D6">
        <w:rPr>
          <w:rFonts w:ascii="Arial" w:hAnsi="Arial" w:cs="Arial"/>
        </w:rPr>
        <w:t>High Street Rates Relief</w:t>
      </w:r>
      <w:r w:rsidR="00792698" w:rsidRPr="00270AA7" w:rsidDel="00792698">
        <w:rPr>
          <w:rFonts w:ascii="Arial" w:hAnsi="Arial" w:cs="Arial"/>
        </w:rPr>
        <w:t xml:space="preserve"> </w:t>
      </w:r>
      <w:r w:rsidR="00B60832" w:rsidRPr="00270AA7">
        <w:rPr>
          <w:rFonts w:ascii="Arial" w:hAnsi="Arial" w:cs="Arial"/>
        </w:rPr>
        <w:t xml:space="preserve">will provide </w:t>
      </w:r>
      <w:r w:rsidR="00AA0DFC">
        <w:rPr>
          <w:rFonts w:ascii="Arial" w:hAnsi="Arial" w:cs="Arial"/>
        </w:rPr>
        <w:t xml:space="preserve">support </w:t>
      </w:r>
      <w:r w:rsidR="00B60832" w:rsidRPr="00270AA7">
        <w:rPr>
          <w:rFonts w:ascii="Arial" w:hAnsi="Arial" w:cs="Arial"/>
          <w:lang w:val="en"/>
        </w:rPr>
        <w:t>of up to £</w:t>
      </w:r>
      <w:r w:rsidR="000D679A">
        <w:rPr>
          <w:rFonts w:ascii="Arial" w:hAnsi="Arial" w:cs="Arial"/>
          <w:lang w:val="en"/>
        </w:rPr>
        <w:t>750</w:t>
      </w:r>
      <w:r w:rsidR="00483166" w:rsidRPr="00270AA7">
        <w:rPr>
          <w:rFonts w:ascii="Arial" w:hAnsi="Arial" w:cs="Arial"/>
          <w:lang w:val="en"/>
        </w:rPr>
        <w:t xml:space="preserve"> </w:t>
      </w:r>
      <w:r w:rsidR="00B60832" w:rsidRPr="00270AA7">
        <w:rPr>
          <w:rFonts w:ascii="Arial" w:hAnsi="Arial" w:cs="Arial"/>
          <w:lang w:val="en"/>
        </w:rPr>
        <w:t>on non-domestic rates bill</w:t>
      </w:r>
      <w:r w:rsidR="00440E61">
        <w:rPr>
          <w:rFonts w:ascii="Arial" w:hAnsi="Arial" w:cs="Arial"/>
          <w:lang w:val="en"/>
        </w:rPr>
        <w:t>s</w:t>
      </w:r>
      <w:r w:rsidR="00B60832" w:rsidRPr="00270AA7">
        <w:rPr>
          <w:rFonts w:ascii="Arial" w:hAnsi="Arial" w:cs="Arial"/>
          <w:lang w:val="en"/>
        </w:rPr>
        <w:t xml:space="preserve"> for </w:t>
      </w:r>
      <w:r w:rsidR="00B60832">
        <w:rPr>
          <w:rFonts w:ascii="Arial" w:hAnsi="Arial" w:cs="Arial"/>
          <w:lang w:val="en"/>
        </w:rPr>
        <w:t>eligible businesses</w:t>
      </w:r>
      <w:r w:rsidR="00B60832" w:rsidRPr="00270AA7">
        <w:rPr>
          <w:rFonts w:ascii="Arial" w:hAnsi="Arial" w:cs="Arial"/>
          <w:lang w:val="en"/>
        </w:rPr>
        <w:t xml:space="preserve"> with a </w:t>
      </w:r>
      <w:proofErr w:type="spellStart"/>
      <w:r w:rsidR="00B60832" w:rsidRPr="00270AA7">
        <w:rPr>
          <w:rFonts w:ascii="Arial" w:hAnsi="Arial" w:cs="Arial"/>
          <w:lang w:val="en"/>
        </w:rPr>
        <w:t>rateable</w:t>
      </w:r>
      <w:proofErr w:type="spellEnd"/>
      <w:r w:rsidR="00B60832" w:rsidRPr="00270AA7">
        <w:rPr>
          <w:rFonts w:ascii="Arial" w:hAnsi="Arial" w:cs="Arial"/>
          <w:lang w:val="en"/>
        </w:rPr>
        <w:t xml:space="preserve"> value of </w:t>
      </w:r>
      <w:r w:rsidR="00AA0DFC">
        <w:rPr>
          <w:rFonts w:ascii="Arial" w:hAnsi="Arial" w:cs="Arial"/>
          <w:lang w:val="en"/>
        </w:rPr>
        <w:t xml:space="preserve">up to </w:t>
      </w:r>
      <w:r w:rsidR="00B60832" w:rsidRPr="00270AA7">
        <w:rPr>
          <w:rFonts w:ascii="Arial" w:hAnsi="Arial" w:cs="Arial"/>
          <w:lang w:val="en"/>
        </w:rPr>
        <w:t>£</w:t>
      </w:r>
      <w:r w:rsidR="00B60832">
        <w:rPr>
          <w:rFonts w:ascii="Arial" w:hAnsi="Arial" w:cs="Arial"/>
          <w:lang w:val="en"/>
        </w:rPr>
        <w:t>50</w:t>
      </w:r>
      <w:r w:rsidR="00B60832" w:rsidRPr="00270AA7">
        <w:rPr>
          <w:rFonts w:ascii="Arial" w:hAnsi="Arial" w:cs="Arial"/>
          <w:lang w:val="en"/>
        </w:rPr>
        <w:t xml:space="preserve">,000. </w:t>
      </w:r>
    </w:p>
    <w:p w:rsidR="00B60832" w:rsidRDefault="00B60832" w:rsidP="00CF0BF9">
      <w:pPr>
        <w:rPr>
          <w:rFonts w:ascii="Arial" w:hAnsi="Arial" w:cs="Arial"/>
        </w:rPr>
      </w:pPr>
    </w:p>
    <w:p w:rsidR="00B60832" w:rsidRDefault="00B60832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"/>
        </w:rPr>
        <w:t>Ratepayers</w:t>
      </w:r>
      <w:r w:rsidRPr="00270AA7">
        <w:rPr>
          <w:rFonts w:ascii="Arial" w:hAnsi="Arial" w:cs="Arial"/>
          <w:lang w:val="en"/>
        </w:rPr>
        <w:t xml:space="preserve"> </w:t>
      </w:r>
      <w:r w:rsidR="00FF4C35">
        <w:rPr>
          <w:rFonts w:ascii="Arial" w:hAnsi="Arial" w:cs="Arial"/>
          <w:lang w:val="en"/>
        </w:rPr>
        <w:t>who</w:t>
      </w:r>
      <w:r w:rsidR="00AA0DFC">
        <w:rPr>
          <w:rFonts w:ascii="Arial" w:hAnsi="Arial" w:cs="Arial"/>
          <w:lang w:val="en"/>
        </w:rPr>
        <w:t xml:space="preserve"> </w:t>
      </w:r>
      <w:r w:rsidRPr="00270AA7">
        <w:rPr>
          <w:rFonts w:ascii="Arial" w:hAnsi="Arial" w:cs="Arial"/>
          <w:lang w:val="en"/>
        </w:rPr>
        <w:t xml:space="preserve">will benefit from the relief </w:t>
      </w:r>
      <w:r>
        <w:rPr>
          <w:rFonts w:ascii="Arial" w:hAnsi="Arial" w:cs="Arial"/>
          <w:lang w:val="en"/>
        </w:rPr>
        <w:t xml:space="preserve">include </w:t>
      </w:r>
      <w:r w:rsidR="00CF0BF9">
        <w:rPr>
          <w:rFonts w:ascii="Arial" w:hAnsi="Arial" w:cs="Arial"/>
          <w:lang w:val="en"/>
        </w:rPr>
        <w:t xml:space="preserve">those with </w:t>
      </w:r>
      <w:r w:rsidRPr="00270AA7">
        <w:rPr>
          <w:rFonts w:ascii="Arial" w:hAnsi="Arial" w:cs="Arial"/>
        </w:rPr>
        <w:t>occupied</w:t>
      </w:r>
      <w:r>
        <w:rPr>
          <w:rFonts w:ascii="Arial" w:hAnsi="Arial" w:cs="Arial"/>
        </w:rPr>
        <w:t xml:space="preserve"> high street</w:t>
      </w:r>
      <w:r w:rsidRPr="00270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retail premises</w:t>
      </w:r>
      <w:r w:rsidR="00AA0DFC">
        <w:rPr>
          <w:rFonts w:ascii="Arial" w:hAnsi="Arial" w:cs="Arial"/>
        </w:rPr>
        <w:t>,</w:t>
      </w:r>
      <w:r w:rsidRPr="00270AA7">
        <w:rPr>
          <w:rFonts w:ascii="Arial" w:hAnsi="Arial" w:cs="Arial"/>
        </w:rPr>
        <w:t xml:space="preserve"> such </w:t>
      </w:r>
      <w:r>
        <w:rPr>
          <w:rFonts w:ascii="Arial" w:hAnsi="Arial" w:cs="Arial"/>
        </w:rPr>
        <w:t>as shops, restaurants, cafes, pubs and wine bars</w:t>
      </w:r>
      <w:r w:rsidRPr="00270AA7">
        <w:rPr>
          <w:rFonts w:ascii="Arial" w:hAnsi="Arial" w:cs="Arial"/>
        </w:rPr>
        <w:t>.</w:t>
      </w:r>
    </w:p>
    <w:p w:rsidR="00B60832" w:rsidRDefault="00B60832" w:rsidP="00CF0BF9">
      <w:pPr>
        <w:autoSpaceDE w:val="0"/>
        <w:autoSpaceDN w:val="0"/>
        <w:adjustRightInd w:val="0"/>
        <w:rPr>
          <w:rFonts w:ascii="Arial" w:hAnsi="Arial" w:cs="Arial"/>
        </w:rPr>
      </w:pPr>
    </w:p>
    <w:p w:rsidR="00AA0DFC" w:rsidRDefault="003B0B54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 maximise the amount of support which can be provided and to ensure it is targeted at those areas and businesses affected by the </w:t>
      </w:r>
      <w:r w:rsidR="009E796A"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 xml:space="preserve">revaluation, there will </w:t>
      </w:r>
      <w:r w:rsidR="009E796A">
        <w:rPr>
          <w:rFonts w:ascii="Arial" w:hAnsi="Arial" w:cs="Arial"/>
        </w:rPr>
        <w:t xml:space="preserve">continue to </w:t>
      </w:r>
      <w:r>
        <w:rPr>
          <w:rFonts w:ascii="Arial" w:hAnsi="Arial" w:cs="Arial"/>
        </w:rPr>
        <w:t>be two tiers of relief.</w:t>
      </w:r>
    </w:p>
    <w:p w:rsidR="00F26587" w:rsidRDefault="00F26587" w:rsidP="00CF0BF9">
      <w:pPr>
        <w:autoSpaceDE w:val="0"/>
        <w:autoSpaceDN w:val="0"/>
        <w:adjustRightInd w:val="0"/>
        <w:rPr>
          <w:rFonts w:ascii="Arial" w:hAnsi="Arial" w:cs="Arial"/>
        </w:rPr>
      </w:pPr>
    </w:p>
    <w:p w:rsidR="00AA0DFC" w:rsidRDefault="00B60832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first tier will apply to eligible high street retailers with a rateable value of between £6,</w:t>
      </w:r>
      <w:r w:rsidR="00BE72F3">
        <w:rPr>
          <w:rFonts w:ascii="Arial" w:hAnsi="Arial" w:cs="Arial"/>
        </w:rPr>
        <w:t xml:space="preserve">001 </w:t>
      </w:r>
      <w:r>
        <w:rPr>
          <w:rFonts w:ascii="Arial" w:hAnsi="Arial" w:cs="Arial"/>
        </w:rPr>
        <w:t xml:space="preserve">and £12,000 who are in receipt of </w:t>
      </w:r>
      <w:r w:rsidR="00AA0DFC">
        <w:rPr>
          <w:rFonts w:ascii="Arial" w:hAnsi="Arial" w:cs="Arial"/>
        </w:rPr>
        <w:t xml:space="preserve">either small business rates relief </w:t>
      </w:r>
      <w:r>
        <w:rPr>
          <w:rFonts w:ascii="Arial" w:hAnsi="Arial" w:cs="Arial"/>
        </w:rPr>
        <w:t xml:space="preserve">(SBRR) or </w:t>
      </w:r>
      <w:r w:rsidR="00AA0DFC">
        <w:rPr>
          <w:rFonts w:ascii="Arial" w:hAnsi="Arial" w:cs="Arial"/>
        </w:rPr>
        <w:t>transitional rates relief</w:t>
      </w:r>
      <w:r>
        <w:rPr>
          <w:rFonts w:ascii="Arial" w:hAnsi="Arial" w:cs="Arial"/>
        </w:rPr>
        <w:t xml:space="preserve">. </w:t>
      </w:r>
      <w:r w:rsidR="00CF0BF9">
        <w:rPr>
          <w:rFonts w:ascii="Arial" w:hAnsi="Arial" w:cs="Arial"/>
        </w:rPr>
        <w:t xml:space="preserve"> </w:t>
      </w:r>
    </w:p>
    <w:p w:rsidR="00AA0DFC" w:rsidRDefault="00AA0DFC" w:rsidP="00CF0BF9">
      <w:pPr>
        <w:autoSpaceDE w:val="0"/>
        <w:autoSpaceDN w:val="0"/>
        <w:adjustRightInd w:val="0"/>
        <w:rPr>
          <w:rFonts w:ascii="Arial" w:hAnsi="Arial" w:cs="Arial"/>
        </w:rPr>
      </w:pPr>
    </w:p>
    <w:p w:rsidR="00B60832" w:rsidRDefault="00B60832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These ratepayers will receive a reduction in their rates bill of £</w:t>
      </w:r>
      <w:r w:rsidR="000D679A">
        <w:rPr>
          <w:rFonts w:ascii="Arial" w:hAnsi="Arial" w:cs="Arial"/>
        </w:rPr>
        <w:t>250</w:t>
      </w:r>
      <w:r>
        <w:rPr>
          <w:rFonts w:ascii="Arial" w:hAnsi="Arial" w:cs="Arial"/>
        </w:rPr>
        <w:t xml:space="preserve">, except where this would reduce their bill below nil </w:t>
      </w:r>
      <w:r w:rsidR="00AA0DF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in</w:t>
      </w:r>
      <w:r w:rsidR="00AA0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cases ratepayers will receive a discount equal to the amount of the</w:t>
      </w:r>
      <w:r w:rsidR="00AA0DFC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outstanding liability. </w:t>
      </w:r>
    </w:p>
    <w:p w:rsidR="00B60832" w:rsidRDefault="00B60832" w:rsidP="00CF0BF9">
      <w:pPr>
        <w:autoSpaceDE w:val="0"/>
        <w:autoSpaceDN w:val="0"/>
        <w:adjustRightInd w:val="0"/>
        <w:rPr>
          <w:rFonts w:ascii="Arial" w:hAnsi="Arial" w:cs="Arial"/>
        </w:rPr>
      </w:pPr>
    </w:p>
    <w:p w:rsidR="00AA0DFC" w:rsidRDefault="00B60832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second tier of relief will apply to eligible </w:t>
      </w:r>
      <w:r w:rsidRPr="00616447">
        <w:rPr>
          <w:rFonts w:ascii="Arial" w:hAnsi="Arial" w:cs="Arial"/>
        </w:rPr>
        <w:t>high street retailers</w:t>
      </w:r>
      <w:r>
        <w:rPr>
          <w:rFonts w:ascii="Arial" w:hAnsi="Arial" w:cs="Arial"/>
        </w:rPr>
        <w:t xml:space="preserve"> with a rateable value </w:t>
      </w:r>
      <w:r w:rsidR="00AA0DFC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between £12,001 and £50,000 who </w:t>
      </w:r>
      <w:r w:rsidR="00440E61">
        <w:rPr>
          <w:rFonts w:ascii="Arial" w:hAnsi="Arial" w:cs="Arial"/>
        </w:rPr>
        <w:t xml:space="preserve">saw </w:t>
      </w:r>
      <w:r>
        <w:rPr>
          <w:rFonts w:ascii="Arial" w:hAnsi="Arial" w:cs="Arial"/>
        </w:rPr>
        <w:t xml:space="preserve">an increase in their </w:t>
      </w:r>
      <w:r>
        <w:rPr>
          <w:rFonts w:ascii="Arial" w:hAnsi="Arial" w:cs="Arial"/>
        </w:rPr>
        <w:lastRenderedPageBreak/>
        <w:t>non</w:t>
      </w:r>
      <w:r w:rsidR="00CF0BF9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domestic rates liability on 1 April 2017. </w:t>
      </w:r>
      <w:r w:rsidR="009E79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These ratepayers will </w:t>
      </w:r>
      <w:r w:rsidRPr="00616447">
        <w:rPr>
          <w:rFonts w:ascii="Arial" w:hAnsi="Arial" w:cs="Arial"/>
        </w:rPr>
        <w:t>receive a reduction in their rates bill of up to £</w:t>
      </w:r>
      <w:r w:rsidR="000D679A">
        <w:rPr>
          <w:rFonts w:ascii="Arial" w:hAnsi="Arial" w:cs="Arial"/>
        </w:rPr>
        <w:t>750</w:t>
      </w:r>
      <w:r>
        <w:rPr>
          <w:rFonts w:ascii="Arial" w:hAnsi="Arial" w:cs="Arial"/>
        </w:rPr>
        <w:t xml:space="preserve">. </w:t>
      </w:r>
      <w:r w:rsidR="00CF0BF9">
        <w:rPr>
          <w:rFonts w:ascii="Arial" w:hAnsi="Arial" w:cs="Arial"/>
        </w:rPr>
        <w:t xml:space="preserve"> </w:t>
      </w:r>
    </w:p>
    <w:p w:rsidR="00AA0DFC" w:rsidRDefault="00AA0DFC" w:rsidP="00CF0BF9">
      <w:pPr>
        <w:autoSpaceDE w:val="0"/>
        <w:autoSpaceDN w:val="0"/>
        <w:adjustRightInd w:val="0"/>
        <w:rPr>
          <w:rFonts w:ascii="Arial" w:hAnsi="Arial" w:cs="Arial"/>
        </w:rPr>
      </w:pPr>
    </w:p>
    <w:p w:rsidR="00B60832" w:rsidRPr="00270AA7" w:rsidRDefault="00B60832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higher level of support reflects the fact these businesses </w:t>
      </w:r>
      <w:r w:rsidR="00AA0DF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not entitled to other </w:t>
      </w:r>
      <w:r w:rsidR="00AA0DFC">
        <w:rPr>
          <w:rFonts w:ascii="Arial" w:hAnsi="Arial" w:cs="Arial"/>
        </w:rPr>
        <w:t xml:space="preserve">sources of government-funded </w:t>
      </w:r>
      <w:r w:rsidR="00440E61">
        <w:rPr>
          <w:rFonts w:ascii="Arial" w:hAnsi="Arial" w:cs="Arial"/>
        </w:rPr>
        <w:t>relief</w:t>
      </w:r>
      <w:r w:rsidR="00AA0D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such as SBRR</w:t>
      </w:r>
      <w:r w:rsidR="00AA0D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9E796A">
        <w:rPr>
          <w:rFonts w:ascii="Arial" w:hAnsi="Arial" w:cs="Arial"/>
        </w:rPr>
        <w:t xml:space="preserve">faced </w:t>
      </w:r>
      <w:r>
        <w:rPr>
          <w:rFonts w:ascii="Arial" w:hAnsi="Arial" w:cs="Arial"/>
        </w:rPr>
        <w:t xml:space="preserve">increases in their rates liability as a result of the </w:t>
      </w:r>
      <w:r w:rsidR="00AA0DFC">
        <w:rPr>
          <w:rFonts w:ascii="Arial" w:hAnsi="Arial" w:cs="Arial"/>
        </w:rPr>
        <w:t xml:space="preserve">revaluation </w:t>
      </w:r>
      <w:r w:rsidR="0027299C">
        <w:rPr>
          <w:rFonts w:ascii="Arial" w:hAnsi="Arial" w:cs="Arial"/>
        </w:rPr>
        <w:t xml:space="preserve">carried out by the </w:t>
      </w:r>
      <w:r w:rsidR="00AA0DFC">
        <w:rPr>
          <w:rFonts w:ascii="Arial" w:hAnsi="Arial" w:cs="Arial"/>
        </w:rPr>
        <w:t xml:space="preserve">independent </w:t>
      </w:r>
      <w:r w:rsidR="0027299C">
        <w:rPr>
          <w:rFonts w:ascii="Arial" w:hAnsi="Arial" w:cs="Arial"/>
        </w:rPr>
        <w:t>Valuation Office Agency</w:t>
      </w:r>
      <w:r>
        <w:rPr>
          <w:rFonts w:ascii="Arial" w:hAnsi="Arial" w:cs="Arial"/>
        </w:rPr>
        <w:t>.</w:t>
      </w:r>
    </w:p>
    <w:p w:rsidR="00B60832" w:rsidRDefault="00B60832" w:rsidP="00CF0BF9">
      <w:pPr>
        <w:rPr>
          <w:rFonts w:ascii="Arial" w:hAnsi="Arial" w:cs="Arial"/>
        </w:rPr>
      </w:pPr>
    </w:p>
    <w:p w:rsidR="00B60832" w:rsidRDefault="00B60832" w:rsidP="00CF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Targeting support in this way means </w:t>
      </w:r>
      <w:r w:rsidR="009E796A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available </w:t>
      </w:r>
      <w:r w:rsidR="00A9303D">
        <w:rPr>
          <w:rFonts w:ascii="Arial" w:hAnsi="Arial" w:cs="Arial"/>
        </w:rPr>
        <w:t>to eligible businesses which saw</w:t>
      </w:r>
      <w:r>
        <w:rPr>
          <w:rFonts w:ascii="Arial" w:hAnsi="Arial" w:cs="Arial"/>
        </w:rPr>
        <w:t xml:space="preserve"> increases in their liability</w:t>
      </w:r>
      <w:r w:rsidR="00440E61">
        <w:rPr>
          <w:rFonts w:ascii="Arial" w:hAnsi="Arial" w:cs="Arial"/>
        </w:rPr>
        <w:t xml:space="preserve"> in 2017</w:t>
      </w:r>
      <w:r w:rsidR="00A930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well </w:t>
      </w:r>
      <w:r w:rsidR="00AA0DF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those </w:t>
      </w:r>
      <w:r w:rsidR="00AA0DFC">
        <w:rPr>
          <w:rFonts w:ascii="Arial" w:hAnsi="Arial" w:cs="Arial"/>
        </w:rPr>
        <w:t xml:space="preserve">businesses </w:t>
      </w:r>
      <w:r w:rsidR="0027299C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high streets where rates are falling but businesses are struggling </w:t>
      </w:r>
      <w:r w:rsidR="00AA0DFC">
        <w:rPr>
          <w:rFonts w:ascii="Arial" w:hAnsi="Arial" w:cs="Arial"/>
        </w:rPr>
        <w:t xml:space="preserve">as a result </w:t>
      </w:r>
      <w:r>
        <w:rPr>
          <w:rFonts w:ascii="Arial" w:hAnsi="Arial" w:cs="Arial"/>
        </w:rPr>
        <w:t xml:space="preserve">of economic conditions and competition from online and out-of-town </w:t>
      </w:r>
      <w:r w:rsidRPr="00616447">
        <w:rPr>
          <w:rFonts w:ascii="Arial" w:hAnsi="Arial" w:cs="Arial"/>
        </w:rPr>
        <w:t>providers.</w:t>
      </w:r>
    </w:p>
    <w:p w:rsidR="00B60832" w:rsidRDefault="00B60832" w:rsidP="00CF0BF9">
      <w:pPr>
        <w:rPr>
          <w:rFonts w:ascii="Arial" w:hAnsi="Arial" w:cs="Arial"/>
        </w:rPr>
      </w:pPr>
    </w:p>
    <w:p w:rsidR="00B60832" w:rsidRPr="00270AA7" w:rsidRDefault="00AA0DFC" w:rsidP="00CF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B60832">
        <w:rPr>
          <w:rFonts w:ascii="Arial" w:hAnsi="Arial" w:cs="Arial"/>
        </w:rPr>
        <w:t>officials have work</w:t>
      </w:r>
      <w:r w:rsidR="00440E61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 xml:space="preserve">closely </w:t>
      </w:r>
      <w:r w:rsidR="00B6083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local </w:t>
      </w:r>
      <w:r w:rsidR="00B60832">
        <w:rPr>
          <w:rFonts w:ascii="Arial" w:hAnsi="Arial" w:cs="Arial"/>
        </w:rPr>
        <w:t xml:space="preserve">authorities to </w:t>
      </w:r>
      <w:r w:rsidR="00440E61">
        <w:rPr>
          <w:rFonts w:ascii="Arial" w:hAnsi="Arial" w:cs="Arial"/>
        </w:rPr>
        <w:t xml:space="preserve">ensure the relief is administered effectively </w:t>
      </w:r>
      <w:r w:rsidR="00B60832">
        <w:rPr>
          <w:rFonts w:ascii="Arial" w:hAnsi="Arial" w:cs="Arial"/>
        </w:rPr>
        <w:t>and eligible ratepayers will be notified</w:t>
      </w:r>
      <w:r w:rsidR="00AC5974">
        <w:rPr>
          <w:rFonts w:ascii="Arial" w:hAnsi="Arial" w:cs="Arial"/>
        </w:rPr>
        <w:t xml:space="preserve"> about their entitlement</w:t>
      </w:r>
      <w:r w:rsidR="00B60832" w:rsidRPr="00270AA7">
        <w:rPr>
          <w:rFonts w:ascii="Arial" w:hAnsi="Arial" w:cs="Arial"/>
        </w:rPr>
        <w:t xml:space="preserve">. </w:t>
      </w:r>
    </w:p>
    <w:p w:rsidR="00B60832" w:rsidRPr="00D965FF" w:rsidRDefault="00B60832" w:rsidP="00CF0BF9">
      <w:pPr>
        <w:rPr>
          <w:rFonts w:ascii="Arial" w:hAnsi="Arial"/>
          <w:highlight w:val="yellow"/>
        </w:rPr>
      </w:pPr>
    </w:p>
    <w:p w:rsidR="00AC5974" w:rsidRDefault="00B60832" w:rsidP="00CF0BF9">
      <w:pPr>
        <w:rPr>
          <w:rFonts w:ascii="Arial" w:hAnsi="Arial"/>
        </w:rPr>
      </w:pPr>
      <w:r w:rsidRPr="00270AA7">
        <w:rPr>
          <w:rFonts w:ascii="Arial" w:hAnsi="Arial"/>
        </w:rPr>
        <w:t>Th</w:t>
      </w:r>
      <w:r>
        <w:rPr>
          <w:rFonts w:ascii="Arial" w:hAnsi="Arial"/>
        </w:rPr>
        <w:t xml:space="preserve">is </w:t>
      </w:r>
      <w:r w:rsidR="00A65E38">
        <w:rPr>
          <w:rFonts w:ascii="Arial" w:hAnsi="Arial"/>
        </w:rPr>
        <w:t>extended</w:t>
      </w:r>
      <w:r>
        <w:rPr>
          <w:rFonts w:ascii="Arial" w:hAnsi="Arial"/>
        </w:rPr>
        <w:t xml:space="preserve"> scheme,</w:t>
      </w:r>
      <w:r w:rsidRPr="00270AA7">
        <w:rPr>
          <w:rFonts w:ascii="Arial" w:hAnsi="Arial"/>
        </w:rPr>
        <w:t xml:space="preserve"> </w:t>
      </w:r>
      <w:r w:rsidR="00AC5974">
        <w:rPr>
          <w:rFonts w:ascii="Arial" w:hAnsi="Arial"/>
        </w:rPr>
        <w:t xml:space="preserve">together </w:t>
      </w:r>
      <w:r w:rsidRPr="00270AA7">
        <w:rPr>
          <w:rFonts w:ascii="Arial" w:hAnsi="Arial"/>
        </w:rPr>
        <w:t xml:space="preserve">with </w:t>
      </w:r>
      <w:r w:rsidR="00AC5974">
        <w:rPr>
          <w:rFonts w:ascii="Arial" w:hAnsi="Arial"/>
        </w:rPr>
        <w:t>our decision</w:t>
      </w:r>
      <w:r w:rsidR="009E796A">
        <w:rPr>
          <w:rFonts w:ascii="Arial" w:hAnsi="Arial"/>
        </w:rPr>
        <w:t>s</w:t>
      </w:r>
      <w:r w:rsidR="00AC5974">
        <w:rPr>
          <w:rFonts w:ascii="Arial" w:hAnsi="Arial"/>
        </w:rPr>
        <w:t xml:space="preserve"> to extend </w:t>
      </w:r>
      <w:r w:rsidR="00440E61">
        <w:rPr>
          <w:rFonts w:ascii="Arial" w:hAnsi="Arial"/>
        </w:rPr>
        <w:t xml:space="preserve">our </w:t>
      </w:r>
      <w:r w:rsidR="00AC5974">
        <w:rPr>
          <w:rFonts w:ascii="Arial" w:hAnsi="Arial"/>
        </w:rPr>
        <w:t>£100m s</w:t>
      </w:r>
      <w:r w:rsidRPr="00270AA7">
        <w:rPr>
          <w:rFonts w:ascii="Arial" w:hAnsi="Arial"/>
        </w:rPr>
        <w:t xml:space="preserve">mall </w:t>
      </w:r>
      <w:r w:rsidR="00AC5974">
        <w:rPr>
          <w:rFonts w:ascii="Arial" w:hAnsi="Arial"/>
        </w:rPr>
        <w:t>b</w:t>
      </w:r>
      <w:r w:rsidR="00AC5974" w:rsidRPr="00270AA7">
        <w:rPr>
          <w:rFonts w:ascii="Arial" w:hAnsi="Arial"/>
        </w:rPr>
        <w:t xml:space="preserve">usiness </w:t>
      </w:r>
      <w:r w:rsidR="00AC5974">
        <w:rPr>
          <w:rFonts w:ascii="Arial" w:hAnsi="Arial"/>
        </w:rPr>
        <w:t>r</w:t>
      </w:r>
      <w:r w:rsidR="00AC5974" w:rsidRPr="00270AA7">
        <w:rPr>
          <w:rFonts w:ascii="Arial" w:hAnsi="Arial"/>
        </w:rPr>
        <w:t>ate</w:t>
      </w:r>
      <w:r w:rsidR="00AC5974">
        <w:rPr>
          <w:rFonts w:ascii="Arial" w:hAnsi="Arial"/>
        </w:rPr>
        <w:t>s</w:t>
      </w:r>
      <w:r w:rsidR="00AC5974" w:rsidRPr="00270AA7">
        <w:rPr>
          <w:rFonts w:ascii="Arial" w:hAnsi="Arial"/>
        </w:rPr>
        <w:t xml:space="preserve"> </w:t>
      </w:r>
      <w:r w:rsidR="00AC5974">
        <w:rPr>
          <w:rFonts w:ascii="Arial" w:hAnsi="Arial"/>
        </w:rPr>
        <w:t>r</w:t>
      </w:r>
      <w:r w:rsidR="00AC5974" w:rsidRPr="00270AA7">
        <w:rPr>
          <w:rFonts w:ascii="Arial" w:hAnsi="Arial"/>
        </w:rPr>
        <w:t>elief</w:t>
      </w:r>
      <w:r w:rsidR="00AC5974">
        <w:rPr>
          <w:rFonts w:ascii="Arial" w:hAnsi="Arial"/>
        </w:rPr>
        <w:t xml:space="preserve"> scheme</w:t>
      </w:r>
      <w:r w:rsidR="00AC5974" w:rsidRPr="00270AA7">
        <w:rPr>
          <w:rFonts w:ascii="Arial" w:hAnsi="Arial"/>
        </w:rPr>
        <w:t xml:space="preserve"> </w:t>
      </w:r>
      <w:r w:rsidR="00AC5974">
        <w:rPr>
          <w:rFonts w:ascii="Arial" w:hAnsi="Arial"/>
        </w:rPr>
        <w:t xml:space="preserve">into </w:t>
      </w:r>
      <w:r w:rsidR="005C75AE">
        <w:rPr>
          <w:rFonts w:ascii="Arial" w:hAnsi="Arial"/>
        </w:rPr>
        <w:t>2018-19</w:t>
      </w:r>
      <w:r w:rsidR="00AC5974">
        <w:rPr>
          <w:rFonts w:ascii="Arial" w:hAnsi="Arial"/>
        </w:rPr>
        <w:t xml:space="preserve"> </w:t>
      </w:r>
      <w:r w:rsidRPr="00270AA7">
        <w:rPr>
          <w:rFonts w:ascii="Arial" w:hAnsi="Arial"/>
        </w:rPr>
        <w:t xml:space="preserve">and </w:t>
      </w:r>
      <w:r w:rsidR="009E796A">
        <w:rPr>
          <w:rFonts w:ascii="Arial" w:hAnsi="Arial"/>
        </w:rPr>
        <w:t xml:space="preserve">to </w:t>
      </w:r>
      <w:r w:rsidR="00AC5974" w:rsidRPr="00270AA7">
        <w:rPr>
          <w:rFonts w:ascii="Arial" w:hAnsi="Arial"/>
        </w:rPr>
        <w:t>provid</w:t>
      </w:r>
      <w:r w:rsidR="00AC5974">
        <w:rPr>
          <w:rFonts w:ascii="Arial" w:hAnsi="Arial"/>
        </w:rPr>
        <w:t xml:space="preserve">e </w:t>
      </w:r>
      <w:r w:rsidR="009E796A">
        <w:rPr>
          <w:rFonts w:ascii="Arial" w:hAnsi="Arial"/>
        </w:rPr>
        <w:t xml:space="preserve">three-year </w:t>
      </w:r>
      <w:r w:rsidR="00AC5974">
        <w:rPr>
          <w:rFonts w:ascii="Arial" w:hAnsi="Arial"/>
        </w:rPr>
        <w:t>t</w:t>
      </w:r>
      <w:r w:rsidR="00AC5974" w:rsidRPr="00270AA7">
        <w:rPr>
          <w:rFonts w:ascii="Arial" w:hAnsi="Arial"/>
        </w:rPr>
        <w:t xml:space="preserve">ransitional </w:t>
      </w:r>
      <w:r w:rsidR="00AC5974">
        <w:rPr>
          <w:rFonts w:ascii="Arial" w:hAnsi="Arial"/>
        </w:rPr>
        <w:t>r</w:t>
      </w:r>
      <w:r w:rsidR="00AC5974" w:rsidRPr="00270AA7">
        <w:rPr>
          <w:rFonts w:ascii="Arial" w:hAnsi="Arial"/>
        </w:rPr>
        <w:t>ate</w:t>
      </w:r>
      <w:r w:rsidR="00AC5974">
        <w:rPr>
          <w:rFonts w:ascii="Arial" w:hAnsi="Arial"/>
        </w:rPr>
        <w:t>s</w:t>
      </w:r>
      <w:r w:rsidR="00AC5974" w:rsidRPr="00270AA7">
        <w:rPr>
          <w:rFonts w:ascii="Arial" w:hAnsi="Arial"/>
        </w:rPr>
        <w:t xml:space="preserve"> </w:t>
      </w:r>
      <w:r w:rsidR="00AC5974">
        <w:rPr>
          <w:rFonts w:ascii="Arial" w:hAnsi="Arial"/>
        </w:rPr>
        <w:t>r</w:t>
      </w:r>
      <w:r w:rsidR="00AC5974" w:rsidRPr="00270AA7">
        <w:rPr>
          <w:rFonts w:ascii="Arial" w:hAnsi="Arial"/>
        </w:rPr>
        <w:t>elief</w:t>
      </w:r>
      <w:r w:rsidR="00AC5974">
        <w:rPr>
          <w:rFonts w:ascii="Arial" w:hAnsi="Arial"/>
        </w:rPr>
        <w:t xml:space="preserve"> scheme from April 2017</w:t>
      </w:r>
      <w:r>
        <w:rPr>
          <w:rFonts w:ascii="Arial" w:hAnsi="Arial"/>
        </w:rPr>
        <w:t xml:space="preserve">, </w:t>
      </w:r>
      <w:r w:rsidR="009E796A">
        <w:rPr>
          <w:rFonts w:ascii="Arial" w:hAnsi="Arial"/>
        </w:rPr>
        <w:t xml:space="preserve">offers </w:t>
      </w:r>
      <w:r w:rsidRPr="00270AA7">
        <w:rPr>
          <w:rFonts w:ascii="Arial" w:hAnsi="Arial"/>
        </w:rPr>
        <w:t>vital support to ratepayers</w:t>
      </w:r>
      <w:r>
        <w:rPr>
          <w:rFonts w:ascii="Arial" w:hAnsi="Arial"/>
        </w:rPr>
        <w:t xml:space="preserve"> across Wales</w:t>
      </w:r>
      <w:r w:rsidRPr="00270AA7">
        <w:rPr>
          <w:rFonts w:ascii="Arial" w:hAnsi="Arial"/>
        </w:rPr>
        <w:t xml:space="preserve">. </w:t>
      </w:r>
      <w:r w:rsidR="00CF0BF9">
        <w:rPr>
          <w:rFonts w:ascii="Arial" w:hAnsi="Arial"/>
        </w:rPr>
        <w:t xml:space="preserve"> </w:t>
      </w:r>
    </w:p>
    <w:p w:rsidR="00AC5974" w:rsidRDefault="00AC5974" w:rsidP="00CF0BF9">
      <w:pPr>
        <w:rPr>
          <w:rFonts w:ascii="Arial" w:hAnsi="Arial"/>
        </w:rPr>
      </w:pPr>
    </w:p>
    <w:p w:rsidR="00B60832" w:rsidRPr="003E1B07" w:rsidRDefault="00B60832" w:rsidP="00CF0BF9">
      <w:pPr>
        <w:rPr>
          <w:rFonts w:ascii="Arial" w:hAnsi="Arial" w:cs="Arial"/>
          <w:i/>
          <w:u w:val="single"/>
        </w:rPr>
      </w:pPr>
      <w:r w:rsidRPr="003E1B07">
        <w:rPr>
          <w:rFonts w:ascii="Arial" w:hAnsi="Arial" w:cs="Arial"/>
          <w:i/>
          <w:u w:val="single"/>
        </w:rPr>
        <w:t>Technical note</w:t>
      </w:r>
    </w:p>
    <w:p w:rsidR="00B60832" w:rsidRPr="003E1B07" w:rsidRDefault="00B60832" w:rsidP="00CF0BF9">
      <w:pPr>
        <w:rPr>
          <w:rFonts w:ascii="Arial" w:hAnsi="Arial" w:cs="Arial"/>
          <w:i/>
          <w:sz w:val="12"/>
          <w:szCs w:val="12"/>
        </w:rPr>
      </w:pPr>
    </w:p>
    <w:p w:rsidR="00B60832" w:rsidRPr="003E1B07" w:rsidRDefault="00B60832" w:rsidP="00CF0BF9">
      <w:pPr>
        <w:rPr>
          <w:rFonts w:ascii="Arial" w:hAnsi="Arial" w:cs="Arial"/>
          <w:i/>
        </w:rPr>
      </w:pPr>
      <w:r w:rsidRPr="003E1B07">
        <w:rPr>
          <w:rFonts w:ascii="Arial" w:hAnsi="Arial" w:cs="Arial"/>
          <w:i/>
        </w:rPr>
        <w:t xml:space="preserve">The eligibility criteria for qualifying businesses are listed below: </w:t>
      </w:r>
    </w:p>
    <w:p w:rsidR="00B60832" w:rsidRPr="003E1B07" w:rsidRDefault="00B60832" w:rsidP="00CF0BF9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  <w:i/>
        </w:rPr>
      </w:pPr>
      <w:r w:rsidRPr="003E1B07">
        <w:rPr>
          <w:rFonts w:ascii="Arial" w:hAnsi="Arial" w:cs="Arial"/>
          <w:i/>
        </w:rPr>
        <w:t xml:space="preserve">Hereditaments that are being used </w:t>
      </w:r>
      <w:r w:rsidR="00974DCC" w:rsidRPr="003E1B07">
        <w:rPr>
          <w:rFonts w:ascii="Arial" w:hAnsi="Arial" w:cs="Arial"/>
          <w:i/>
        </w:rPr>
        <w:t xml:space="preserve">wholly or mainly </w:t>
      </w:r>
      <w:r w:rsidRPr="003E1B07">
        <w:rPr>
          <w:rFonts w:ascii="Arial" w:hAnsi="Arial" w:cs="Arial"/>
          <w:i/>
        </w:rPr>
        <w:t>for the sale of goods to visiting members of the public</w:t>
      </w:r>
      <w:r w:rsidR="00A9303D" w:rsidRPr="003E1B07">
        <w:rPr>
          <w:rFonts w:ascii="Arial" w:hAnsi="Arial" w:cs="Arial"/>
          <w:i/>
        </w:rPr>
        <w:t>.</w:t>
      </w:r>
      <w:r w:rsidRPr="003E1B07">
        <w:rPr>
          <w:rFonts w:ascii="Arial" w:hAnsi="Arial" w:cs="Arial"/>
          <w:i/>
        </w:rPr>
        <w:t xml:space="preserve"> </w:t>
      </w:r>
    </w:p>
    <w:p w:rsidR="00B60832" w:rsidRPr="003E1B07" w:rsidRDefault="00B60832" w:rsidP="00CF0BF9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  <w:i/>
        </w:rPr>
      </w:pPr>
      <w:r w:rsidRPr="003E1B07">
        <w:rPr>
          <w:rFonts w:ascii="Arial" w:hAnsi="Arial" w:cs="Arial"/>
          <w:i/>
        </w:rPr>
        <w:t xml:space="preserve">Hereditaments that are being used </w:t>
      </w:r>
      <w:r w:rsidR="00974DCC" w:rsidRPr="003E1B07">
        <w:rPr>
          <w:rFonts w:ascii="Arial" w:hAnsi="Arial" w:cs="Arial"/>
          <w:i/>
        </w:rPr>
        <w:t xml:space="preserve">wholly or mainly </w:t>
      </w:r>
      <w:r w:rsidRPr="003E1B07">
        <w:rPr>
          <w:rFonts w:ascii="Arial" w:hAnsi="Arial" w:cs="Arial"/>
          <w:i/>
        </w:rPr>
        <w:t>for the provision of the retail services to visiting members of the public</w:t>
      </w:r>
    </w:p>
    <w:p w:rsidR="00B60832" w:rsidRPr="003E1B07" w:rsidRDefault="00B60832" w:rsidP="00CF0BF9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  <w:i/>
        </w:rPr>
      </w:pPr>
      <w:r w:rsidRPr="003E1B07">
        <w:rPr>
          <w:rFonts w:ascii="Arial" w:hAnsi="Arial" w:cs="Arial"/>
          <w:i/>
        </w:rPr>
        <w:t xml:space="preserve">Hereditaments that are being used </w:t>
      </w:r>
      <w:r w:rsidR="00974DCC" w:rsidRPr="003E1B07">
        <w:rPr>
          <w:rFonts w:ascii="Arial" w:hAnsi="Arial" w:cs="Arial"/>
          <w:i/>
        </w:rPr>
        <w:t xml:space="preserve">wholly or mainly </w:t>
      </w:r>
      <w:r w:rsidRPr="003E1B07">
        <w:rPr>
          <w:rFonts w:ascii="Arial" w:hAnsi="Arial" w:cs="Arial"/>
          <w:i/>
        </w:rPr>
        <w:t>for the sale of food and/or drink to visiting members of the public</w:t>
      </w:r>
      <w:r w:rsidR="00CF0BF9" w:rsidRPr="003E1B07">
        <w:rPr>
          <w:rFonts w:ascii="Arial" w:hAnsi="Arial" w:cs="Arial"/>
          <w:i/>
        </w:rPr>
        <w:t>.</w:t>
      </w:r>
    </w:p>
    <w:p w:rsidR="00B60832" w:rsidRPr="003E1B07" w:rsidRDefault="00B60832" w:rsidP="00CF0BF9">
      <w:pPr>
        <w:rPr>
          <w:rFonts w:ascii="Arial" w:hAnsi="Arial" w:cs="Arial"/>
          <w:i/>
          <w:sz w:val="12"/>
          <w:szCs w:val="12"/>
        </w:rPr>
      </w:pPr>
    </w:p>
    <w:p w:rsidR="00B60832" w:rsidRPr="003E1B07" w:rsidRDefault="00B60832" w:rsidP="00CF0BF9">
      <w:pPr>
        <w:rPr>
          <w:rFonts w:ascii="Arial" w:hAnsi="Arial" w:cs="Arial"/>
          <w:i/>
        </w:rPr>
      </w:pPr>
      <w:r w:rsidRPr="003E1B07">
        <w:rPr>
          <w:rFonts w:ascii="Arial" w:hAnsi="Arial" w:cs="Arial"/>
          <w:i/>
        </w:rPr>
        <w:t>The relief will exclude:</w:t>
      </w:r>
    </w:p>
    <w:p w:rsidR="00F249C5" w:rsidRPr="003E1B07" w:rsidRDefault="00F249C5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  <w:i/>
        </w:rPr>
      </w:pPr>
      <w:r w:rsidRPr="003E1B07">
        <w:rPr>
          <w:rFonts w:ascii="Arial" w:hAnsi="Arial" w:cs="Arial"/>
          <w:i/>
        </w:rPr>
        <w:t>Hereditaments with a valuation of more than £50,000</w:t>
      </w:r>
      <w:r w:rsidR="00A9303D" w:rsidRPr="003E1B07">
        <w:rPr>
          <w:rFonts w:ascii="Arial" w:hAnsi="Arial" w:cs="Arial"/>
          <w:i/>
        </w:rPr>
        <w:t>.</w:t>
      </w:r>
    </w:p>
    <w:p w:rsidR="00B60832" w:rsidRPr="003E1B07" w:rsidRDefault="00B60832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  <w:i/>
        </w:rPr>
      </w:pPr>
      <w:r w:rsidRPr="003E1B07">
        <w:rPr>
          <w:rFonts w:ascii="Arial" w:hAnsi="Arial" w:cs="Arial"/>
          <w:i/>
        </w:rPr>
        <w:t>Hereditaments not reasonably accessible to visiting members of the public</w:t>
      </w:r>
      <w:r w:rsidR="00A9303D" w:rsidRPr="003E1B07">
        <w:rPr>
          <w:rFonts w:ascii="Arial" w:hAnsi="Arial" w:cs="Arial"/>
          <w:i/>
        </w:rPr>
        <w:t>.</w:t>
      </w:r>
      <w:r w:rsidRPr="003E1B07">
        <w:rPr>
          <w:rFonts w:ascii="Arial" w:hAnsi="Arial" w:cs="Arial"/>
          <w:i/>
        </w:rPr>
        <w:t xml:space="preserve"> </w:t>
      </w:r>
    </w:p>
    <w:p w:rsidR="00B60832" w:rsidRPr="003E1B07" w:rsidRDefault="00CF0BF9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  <w:i/>
        </w:rPr>
      </w:pPr>
      <w:r w:rsidRPr="003E1B07">
        <w:rPr>
          <w:rFonts w:ascii="Arial" w:hAnsi="Arial" w:cs="Arial"/>
          <w:i/>
        </w:rPr>
        <w:t>Hereditaments that are in out-</w:t>
      </w:r>
      <w:r w:rsidR="00B60832" w:rsidRPr="003E1B07">
        <w:rPr>
          <w:rFonts w:ascii="Arial" w:hAnsi="Arial" w:cs="Arial"/>
          <w:i/>
        </w:rPr>
        <w:t>of</w:t>
      </w:r>
      <w:r w:rsidRPr="003E1B07">
        <w:rPr>
          <w:rFonts w:ascii="Arial" w:hAnsi="Arial" w:cs="Arial"/>
          <w:i/>
        </w:rPr>
        <w:t>-</w:t>
      </w:r>
      <w:r w:rsidR="00B60832" w:rsidRPr="003E1B07">
        <w:rPr>
          <w:rFonts w:ascii="Arial" w:hAnsi="Arial" w:cs="Arial"/>
          <w:i/>
        </w:rPr>
        <w:t>town retail parks or industrial estates</w:t>
      </w:r>
      <w:r w:rsidR="00A9303D" w:rsidRPr="003E1B07">
        <w:rPr>
          <w:rFonts w:ascii="Arial" w:hAnsi="Arial" w:cs="Arial"/>
          <w:i/>
        </w:rPr>
        <w:t>.</w:t>
      </w:r>
      <w:r w:rsidR="00B60832" w:rsidRPr="003E1B07">
        <w:rPr>
          <w:rFonts w:ascii="Arial" w:hAnsi="Arial" w:cs="Arial"/>
          <w:i/>
        </w:rPr>
        <w:t xml:space="preserve"> </w:t>
      </w:r>
    </w:p>
    <w:p w:rsidR="00B60832" w:rsidRPr="003E1B07" w:rsidRDefault="00B60832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  <w:i/>
        </w:rPr>
      </w:pPr>
      <w:r w:rsidRPr="003E1B07">
        <w:rPr>
          <w:rFonts w:ascii="Arial" w:hAnsi="Arial" w:cs="Arial"/>
          <w:i/>
        </w:rPr>
        <w:t>Hereditaments that are not occupied</w:t>
      </w:r>
      <w:r w:rsidR="00A9303D" w:rsidRPr="003E1B07">
        <w:rPr>
          <w:rFonts w:ascii="Arial" w:hAnsi="Arial" w:cs="Arial"/>
          <w:i/>
        </w:rPr>
        <w:t>.</w:t>
      </w:r>
    </w:p>
    <w:p w:rsidR="003F7DFD" w:rsidRPr="003E1B07" w:rsidRDefault="00B60832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  <w:i/>
        </w:rPr>
      </w:pPr>
      <w:r w:rsidRPr="003E1B07">
        <w:rPr>
          <w:rFonts w:ascii="Arial" w:hAnsi="Arial" w:cs="Arial"/>
          <w:i/>
        </w:rPr>
        <w:t>Hereditaments that are in receipt of mandatory charitable rate</w:t>
      </w:r>
      <w:r w:rsidR="0027299C" w:rsidRPr="003E1B07">
        <w:rPr>
          <w:rFonts w:ascii="Arial" w:hAnsi="Arial" w:cs="Arial"/>
          <w:i/>
        </w:rPr>
        <w:t>s</w:t>
      </w:r>
      <w:r w:rsidRPr="003E1B07">
        <w:rPr>
          <w:rFonts w:ascii="Arial" w:hAnsi="Arial" w:cs="Arial"/>
          <w:i/>
        </w:rPr>
        <w:t xml:space="preserve"> relief</w:t>
      </w:r>
      <w:r w:rsidR="00CF0BF9" w:rsidRPr="003E1B07">
        <w:rPr>
          <w:rFonts w:ascii="Arial" w:hAnsi="Arial" w:cs="Arial"/>
          <w:i/>
        </w:rPr>
        <w:t>.</w:t>
      </w:r>
    </w:p>
    <w:sectPr w:rsidR="003F7DFD" w:rsidRPr="003E1B07" w:rsidSect="00CF0BF9">
      <w:pgSz w:w="11906" w:h="16838" w:code="9"/>
      <w:pgMar w:top="1418" w:right="155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899"/>
    <w:multiLevelType w:val="hybridMultilevel"/>
    <w:tmpl w:val="8728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156CF"/>
    <w:multiLevelType w:val="hybridMultilevel"/>
    <w:tmpl w:val="ACCC86C0"/>
    <w:lvl w:ilvl="0" w:tplc="729686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87185E"/>
    <w:multiLevelType w:val="hybridMultilevel"/>
    <w:tmpl w:val="2ACACCD0"/>
    <w:lvl w:ilvl="0" w:tplc="DB6AF54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54601"/>
    <w:multiLevelType w:val="hybridMultilevel"/>
    <w:tmpl w:val="9348C5BE"/>
    <w:lvl w:ilvl="0" w:tplc="7CC078E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E1D46"/>
    <w:multiLevelType w:val="hybridMultilevel"/>
    <w:tmpl w:val="5A9E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112AF"/>
    <w:multiLevelType w:val="hybridMultilevel"/>
    <w:tmpl w:val="899A8354"/>
    <w:lvl w:ilvl="0" w:tplc="80FA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D0"/>
    <w:rsid w:val="00037AD9"/>
    <w:rsid w:val="00041BDE"/>
    <w:rsid w:val="00046D28"/>
    <w:rsid w:val="000746D6"/>
    <w:rsid w:val="000A09F8"/>
    <w:rsid w:val="000A591F"/>
    <w:rsid w:val="000D1B3A"/>
    <w:rsid w:val="000D679A"/>
    <w:rsid w:val="000F7795"/>
    <w:rsid w:val="001116D0"/>
    <w:rsid w:val="00122897"/>
    <w:rsid w:val="0012471A"/>
    <w:rsid w:val="001900C4"/>
    <w:rsid w:val="001929A1"/>
    <w:rsid w:val="001C5D11"/>
    <w:rsid w:val="001E0208"/>
    <w:rsid w:val="001E12BF"/>
    <w:rsid w:val="00230784"/>
    <w:rsid w:val="0025041D"/>
    <w:rsid w:val="002506FA"/>
    <w:rsid w:val="00262B03"/>
    <w:rsid w:val="00270AA7"/>
    <w:rsid w:val="0027299C"/>
    <w:rsid w:val="002844FD"/>
    <w:rsid w:val="002A009F"/>
    <w:rsid w:val="002B2923"/>
    <w:rsid w:val="002E5DC7"/>
    <w:rsid w:val="00326CB5"/>
    <w:rsid w:val="00346E35"/>
    <w:rsid w:val="00365790"/>
    <w:rsid w:val="0036655B"/>
    <w:rsid w:val="00371E93"/>
    <w:rsid w:val="00380B56"/>
    <w:rsid w:val="003B0B54"/>
    <w:rsid w:val="003E1B07"/>
    <w:rsid w:val="003E4076"/>
    <w:rsid w:val="003F1F79"/>
    <w:rsid w:val="003F7DFD"/>
    <w:rsid w:val="004103DF"/>
    <w:rsid w:val="00440E61"/>
    <w:rsid w:val="004475DC"/>
    <w:rsid w:val="00483166"/>
    <w:rsid w:val="004D0302"/>
    <w:rsid w:val="004D45C0"/>
    <w:rsid w:val="004E27B9"/>
    <w:rsid w:val="00501EE0"/>
    <w:rsid w:val="005233C7"/>
    <w:rsid w:val="0054266B"/>
    <w:rsid w:val="00547F7F"/>
    <w:rsid w:val="00553E26"/>
    <w:rsid w:val="00582197"/>
    <w:rsid w:val="0059219B"/>
    <w:rsid w:val="005C1283"/>
    <w:rsid w:val="005C53A8"/>
    <w:rsid w:val="005C75AE"/>
    <w:rsid w:val="005E7AAC"/>
    <w:rsid w:val="005F25A3"/>
    <w:rsid w:val="00603E47"/>
    <w:rsid w:val="0065362C"/>
    <w:rsid w:val="006602A7"/>
    <w:rsid w:val="00661A89"/>
    <w:rsid w:val="00685BA7"/>
    <w:rsid w:val="00686E3B"/>
    <w:rsid w:val="006878A7"/>
    <w:rsid w:val="0069399B"/>
    <w:rsid w:val="0069522F"/>
    <w:rsid w:val="006B59B5"/>
    <w:rsid w:val="006E06B1"/>
    <w:rsid w:val="006F4CE2"/>
    <w:rsid w:val="00736F79"/>
    <w:rsid w:val="00737B44"/>
    <w:rsid w:val="007420A7"/>
    <w:rsid w:val="00746762"/>
    <w:rsid w:val="00756CA3"/>
    <w:rsid w:val="0076537A"/>
    <w:rsid w:val="00766ABE"/>
    <w:rsid w:val="00783C71"/>
    <w:rsid w:val="00787163"/>
    <w:rsid w:val="00792698"/>
    <w:rsid w:val="00793908"/>
    <w:rsid w:val="007A3CD0"/>
    <w:rsid w:val="007C2594"/>
    <w:rsid w:val="007C4FE8"/>
    <w:rsid w:val="00806059"/>
    <w:rsid w:val="0081528C"/>
    <w:rsid w:val="0084247E"/>
    <w:rsid w:val="00864CED"/>
    <w:rsid w:val="00867556"/>
    <w:rsid w:val="00871F94"/>
    <w:rsid w:val="008A5B99"/>
    <w:rsid w:val="008D01CB"/>
    <w:rsid w:val="008D0EDA"/>
    <w:rsid w:val="00917D44"/>
    <w:rsid w:val="0096286A"/>
    <w:rsid w:val="009719F3"/>
    <w:rsid w:val="00974DCC"/>
    <w:rsid w:val="009772B5"/>
    <w:rsid w:val="00991552"/>
    <w:rsid w:val="00991843"/>
    <w:rsid w:val="009923AF"/>
    <w:rsid w:val="009B7852"/>
    <w:rsid w:val="009B7E29"/>
    <w:rsid w:val="009E796A"/>
    <w:rsid w:val="009F2D72"/>
    <w:rsid w:val="009F6AB8"/>
    <w:rsid w:val="00A57AF1"/>
    <w:rsid w:val="00A61813"/>
    <w:rsid w:val="00A65E38"/>
    <w:rsid w:val="00A82D37"/>
    <w:rsid w:val="00A83BB4"/>
    <w:rsid w:val="00A9303D"/>
    <w:rsid w:val="00AA0DFC"/>
    <w:rsid w:val="00AA7D57"/>
    <w:rsid w:val="00AC5974"/>
    <w:rsid w:val="00AE772C"/>
    <w:rsid w:val="00B123AB"/>
    <w:rsid w:val="00B170E8"/>
    <w:rsid w:val="00B408C1"/>
    <w:rsid w:val="00B426B7"/>
    <w:rsid w:val="00B52C1C"/>
    <w:rsid w:val="00B60832"/>
    <w:rsid w:val="00B927B0"/>
    <w:rsid w:val="00B963AD"/>
    <w:rsid w:val="00BA148B"/>
    <w:rsid w:val="00BA605C"/>
    <w:rsid w:val="00BD4C18"/>
    <w:rsid w:val="00BE0ACC"/>
    <w:rsid w:val="00BE72F3"/>
    <w:rsid w:val="00C02788"/>
    <w:rsid w:val="00C4378D"/>
    <w:rsid w:val="00C57C94"/>
    <w:rsid w:val="00C96D42"/>
    <w:rsid w:val="00CB0F6E"/>
    <w:rsid w:val="00CD291C"/>
    <w:rsid w:val="00CD5824"/>
    <w:rsid w:val="00CF0BF9"/>
    <w:rsid w:val="00CF7E72"/>
    <w:rsid w:val="00D31330"/>
    <w:rsid w:val="00D347DF"/>
    <w:rsid w:val="00D443DF"/>
    <w:rsid w:val="00D64C33"/>
    <w:rsid w:val="00D85FED"/>
    <w:rsid w:val="00DB7594"/>
    <w:rsid w:val="00DC50A8"/>
    <w:rsid w:val="00DD04AF"/>
    <w:rsid w:val="00DD6420"/>
    <w:rsid w:val="00DE0206"/>
    <w:rsid w:val="00DE40C1"/>
    <w:rsid w:val="00E30C3C"/>
    <w:rsid w:val="00E34E70"/>
    <w:rsid w:val="00E45E6F"/>
    <w:rsid w:val="00E55752"/>
    <w:rsid w:val="00E90FC7"/>
    <w:rsid w:val="00EB1BE8"/>
    <w:rsid w:val="00EC572F"/>
    <w:rsid w:val="00F0706D"/>
    <w:rsid w:val="00F249C5"/>
    <w:rsid w:val="00F26587"/>
    <w:rsid w:val="00FA154C"/>
    <w:rsid w:val="00FB404A"/>
    <w:rsid w:val="00FC533A"/>
    <w:rsid w:val="00FD4175"/>
    <w:rsid w:val="00FD514C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3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74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555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2018-03-15T00:00:00+00:00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0851A18-3E53-4281-BDC6-B8280664D0AA}"/>
</file>

<file path=customXml/itemProps2.xml><?xml version="1.0" encoding="utf-8"?>
<ds:datastoreItem xmlns:ds="http://schemas.openxmlformats.org/officeDocument/2006/customXml" ds:itemID="{8D0AF644-5085-4867-B676-DE59E4782627}"/>
</file>

<file path=customXml/itemProps3.xml><?xml version="1.0" encoding="utf-8"?>
<ds:datastoreItem xmlns:ds="http://schemas.openxmlformats.org/officeDocument/2006/customXml" ds:itemID="{2923C0E4-F04C-44AD-9C02-D13426534C9F}"/>
</file>

<file path=docProps/app.xml><?xml version="1.0" encoding="utf-8"?>
<Properties xmlns="http://schemas.openxmlformats.org/officeDocument/2006/extended-properties" xmlns:vt="http://schemas.openxmlformats.org/officeDocument/2006/docPropsVTypes">
  <Template>6582911C</Template>
  <TotalTime>0</TotalTime>
  <Pages>2</Pages>
  <Words>575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Company>Welsh Assembly Government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Targeted High Street Rates Relief Scheme 2018-19</dc:title>
  <dc:creator>bryantp</dc:creator>
  <cp:lastModifiedBy>Carey, Helen (OFMCO - Cabinet Division)</cp:lastModifiedBy>
  <cp:revision>3</cp:revision>
  <cp:lastPrinted>2017-02-13T12:39:00Z</cp:lastPrinted>
  <dcterms:created xsi:type="dcterms:W3CDTF">2018-03-12T08:50:00Z</dcterms:created>
  <dcterms:modified xsi:type="dcterms:W3CDTF">2018-03-13T14:28:00Z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A21700076</vt:lpwstr>
  </property>
  <property fmtid="{D5CDD505-2E9C-101B-9397-08002B2CF9AE}" pid="3" name="Objective-Title">
    <vt:lpwstr>180315 - MD - Written Statement - Targeted High Street Rates Relief Scheme 2018-19 - English</vt:lpwstr>
  </property>
  <property fmtid="{D5CDD505-2E9C-101B-9397-08002B2CF9AE}" pid="4" name="Objective-Comment">
    <vt:lpwstr/>
  </property>
  <property fmtid="{D5CDD505-2E9C-101B-9397-08002B2CF9AE}" pid="5" name="Objective-CreationStamp">
    <vt:filetime>2018-03-12T09:07:31Z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2018-03-13T14:28:26Z</vt:filetime>
  </property>
  <property fmtid="{D5CDD505-2E9C-101B-9397-08002B2CF9AE}" pid="9" name="Objective-ModificationStamp">
    <vt:filetime>2018-03-13T14:28:36Z</vt:filetime>
  </property>
  <property fmtid="{D5CDD505-2E9C-101B-9397-08002B2CF9AE}" pid="10" name="Objective-Owner">
    <vt:lpwstr>Carey, Helen (OFMCO - Cabinet Division)</vt:lpwstr>
  </property>
  <property fmtid="{D5CDD505-2E9C-101B-9397-08002B2CF9AE}" pid="11" name="Objective-Path">
    <vt:lpwstr>Objective Global Folder:Corporate File Plan:GOVERNMENT BUSINESS:Government Business - Cabinet:NAfW Term 5 - Cabinet:Government Business - Cabinet:Cabinet - Statements - 2017-2018 (Jan-Mar):</vt:lpwstr>
  </property>
  <property fmtid="{D5CDD505-2E9C-101B-9397-08002B2CF9AE}" pid="12" name="Objective-Parent">
    <vt:lpwstr>Cabinet - Statements - 2017-2018 (Jan-Mar)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qA1315188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2018-03-12T00:00:00Z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ContentTypeId">
    <vt:lpwstr>0x010100C32B317B5CB4014E8FDC61FB98CB49750066DDDDA8424970449BEE8C4A4D2809D6</vt:lpwstr>
  </property>
</Properties>
</file>