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F862BF" w:rsidRDefault="00F862BF" w:rsidP="001A39E2">
      <w:pPr>
        <w:jc w:val="right"/>
        <w:rPr>
          <w:b/>
        </w:rPr>
      </w:pPr>
    </w:p>
    <w:p w:rsidR="00F862BF" w:rsidRDefault="00F862BF" w:rsidP="001A39E2">
      <w:pPr>
        <w:jc w:val="right"/>
        <w:rPr>
          <w:b/>
        </w:rPr>
      </w:pPr>
    </w:p>
    <w:p w:rsidR="00F862BF" w:rsidRDefault="00F862BF" w:rsidP="001A39E2">
      <w:pPr>
        <w:jc w:val="right"/>
        <w:rPr>
          <w:b/>
        </w:rPr>
      </w:pPr>
    </w:p>
    <w:p w:rsidR="00F862BF" w:rsidRDefault="00F862BF" w:rsidP="001A39E2">
      <w:pPr>
        <w:jc w:val="right"/>
        <w:rPr>
          <w:b/>
        </w:rPr>
      </w:pPr>
    </w:p>
    <w:p w:rsidR="00F862BF" w:rsidRDefault="00F862BF" w:rsidP="001A39E2">
      <w:pPr>
        <w:jc w:val="right"/>
        <w:rPr>
          <w:b/>
        </w:rPr>
      </w:pPr>
    </w:p>
    <w:p w:rsidR="00F862BF" w:rsidRDefault="00F862BF" w:rsidP="001A39E2">
      <w:pPr>
        <w:jc w:val="right"/>
        <w:rPr>
          <w:b/>
        </w:rPr>
      </w:pPr>
    </w:p>
    <w:p w:rsidR="00F862BF" w:rsidRDefault="00F862BF" w:rsidP="001A39E2">
      <w:pPr>
        <w:jc w:val="right"/>
        <w:rPr>
          <w:b/>
        </w:rPr>
      </w:pPr>
    </w:p>
    <w:p w:rsidR="00A845A9" w:rsidRDefault="00F862BF" w:rsidP="00A845A9">
      <w:pPr>
        <w:pStyle w:val="Heading1"/>
        <w:rPr>
          <w:color w:val="FF0000"/>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46990</wp:posOffset>
                </wp:positionH>
                <wp:positionV relativeFrom="paragraph">
                  <wp:posOffset>39369</wp:posOffset>
                </wp:positionV>
                <wp:extent cx="5303520" cy="0"/>
                <wp:effectExtent l="0" t="0" r="1143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F143F"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A921A3"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05274D" w:rsidRPr="0005274D" w:rsidRDefault="0005274D" w:rsidP="0005274D">
      <w:pPr>
        <w:rPr>
          <w:lang w:eastAsia="en-GB"/>
        </w:rPr>
      </w:pPr>
    </w:p>
    <w:p w:rsidR="00A845A9" w:rsidRPr="00CE48F3" w:rsidRDefault="00F862BF" w:rsidP="00A845A9">
      <w:pPr>
        <w:rPr>
          <w:b/>
          <w:color w:val="FF0000"/>
        </w:rPr>
      </w:pPr>
      <w:r>
        <w:rPr>
          <w:noProof/>
          <w:lang w:eastAsia="en-GB"/>
        </w:rPr>
        <mc:AlternateContent>
          <mc:Choice Requires="wps">
            <w:drawing>
              <wp:anchor distT="4294967295" distB="4294967295" distL="114300" distR="114300" simplePos="0" relativeHeight="251658240" behindDoc="0" locked="0" layoutInCell="0" allowOverlap="1">
                <wp:simplePos x="0" y="0"/>
                <wp:positionH relativeFrom="column">
                  <wp:posOffset>46990</wp:posOffset>
                </wp:positionH>
                <wp:positionV relativeFrom="paragraph">
                  <wp:posOffset>128269</wp:posOffset>
                </wp:positionV>
                <wp:extent cx="5303520" cy="0"/>
                <wp:effectExtent l="0" t="0" r="1143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A61E3"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tJ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JCS&#10;q0k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146"/>
      </w:tblGrid>
      <w:tr w:rsidR="00A845A9" w:rsidRPr="004C079E" w:rsidTr="00A845A9">
        <w:tc>
          <w:tcPr>
            <w:tcW w:w="1383" w:type="dxa"/>
            <w:tcBorders>
              <w:top w:val="nil"/>
              <w:left w:val="nil"/>
              <w:bottom w:val="nil"/>
              <w:right w:val="nil"/>
            </w:tcBorders>
            <w:vAlign w:val="center"/>
          </w:tcPr>
          <w:p w:rsidR="0005274D" w:rsidRDefault="0005274D" w:rsidP="004C079E">
            <w:pPr>
              <w:spacing w:before="120" w:after="120"/>
              <w:rPr>
                <w:rFonts w:ascii="Arial" w:hAnsi="Arial" w:cs="Arial"/>
                <w:b/>
                <w:bCs/>
                <w:sz w:val="24"/>
                <w:szCs w:val="24"/>
              </w:rPr>
            </w:pPr>
          </w:p>
          <w:p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TITLE </w:t>
            </w:r>
          </w:p>
        </w:tc>
        <w:tc>
          <w:tcPr>
            <w:tcW w:w="7146" w:type="dxa"/>
            <w:tcBorders>
              <w:top w:val="nil"/>
              <w:left w:val="nil"/>
              <w:bottom w:val="nil"/>
              <w:right w:val="nil"/>
            </w:tcBorders>
            <w:vAlign w:val="center"/>
          </w:tcPr>
          <w:p w:rsidR="0005274D" w:rsidRDefault="0005274D" w:rsidP="004C079E">
            <w:pPr>
              <w:spacing w:before="120" w:after="120"/>
              <w:rPr>
                <w:rFonts w:ascii="Arial" w:hAnsi="Arial" w:cs="Arial"/>
                <w:b/>
                <w:bCs/>
                <w:sz w:val="24"/>
                <w:szCs w:val="24"/>
              </w:rPr>
            </w:pPr>
          </w:p>
          <w:p w:rsidR="00A845A9" w:rsidRPr="00E56B88" w:rsidRDefault="003F05EF" w:rsidP="004C079E">
            <w:pPr>
              <w:spacing w:before="120" w:after="120"/>
              <w:rPr>
                <w:rFonts w:ascii="Arial" w:hAnsi="Arial" w:cs="Arial"/>
                <w:b/>
                <w:bCs/>
                <w:sz w:val="24"/>
                <w:szCs w:val="24"/>
              </w:rPr>
            </w:pPr>
            <w:bookmarkStart w:id="0" w:name="_GoBack"/>
            <w:r>
              <w:rPr>
                <w:rFonts w:ascii="Arial" w:hAnsi="Arial" w:cs="Arial"/>
                <w:b/>
                <w:bCs/>
                <w:sz w:val="24"/>
                <w:szCs w:val="24"/>
              </w:rPr>
              <w:t>Supreme Court Reference: UK Withdrawal from the European Union (Legal Continuity) (Scotland) Bill</w:t>
            </w:r>
            <w:bookmarkEnd w:id="0"/>
          </w:p>
        </w:tc>
      </w:tr>
      <w:tr w:rsidR="00A845A9" w:rsidRPr="004C079E" w:rsidTr="00A845A9">
        <w:tc>
          <w:tcPr>
            <w:tcW w:w="1383" w:type="dxa"/>
            <w:tcBorders>
              <w:top w:val="nil"/>
              <w:left w:val="nil"/>
              <w:bottom w:val="nil"/>
              <w:right w:val="nil"/>
            </w:tcBorders>
            <w:vAlign w:val="center"/>
          </w:tcPr>
          <w:p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DATE </w:t>
            </w:r>
          </w:p>
        </w:tc>
        <w:tc>
          <w:tcPr>
            <w:tcW w:w="7146" w:type="dxa"/>
            <w:tcBorders>
              <w:top w:val="nil"/>
              <w:left w:val="nil"/>
              <w:bottom w:val="nil"/>
              <w:right w:val="nil"/>
            </w:tcBorders>
            <w:vAlign w:val="center"/>
          </w:tcPr>
          <w:p w:rsidR="00A845A9" w:rsidRPr="00E56B88" w:rsidRDefault="00C47380" w:rsidP="00C47380">
            <w:pPr>
              <w:spacing w:before="120" w:after="120"/>
              <w:rPr>
                <w:rFonts w:ascii="Arial" w:hAnsi="Arial" w:cs="Arial"/>
                <w:b/>
                <w:bCs/>
                <w:sz w:val="24"/>
                <w:szCs w:val="24"/>
              </w:rPr>
            </w:pPr>
            <w:r>
              <w:rPr>
                <w:rFonts w:ascii="Arial" w:hAnsi="Arial" w:cs="Arial"/>
                <w:b/>
                <w:bCs/>
                <w:sz w:val="24"/>
                <w:szCs w:val="24"/>
              </w:rPr>
              <w:t xml:space="preserve">20 December </w:t>
            </w:r>
            <w:r w:rsidR="003F05EF">
              <w:rPr>
                <w:rFonts w:ascii="Arial" w:hAnsi="Arial" w:cs="Arial"/>
                <w:b/>
                <w:bCs/>
                <w:sz w:val="24"/>
                <w:szCs w:val="24"/>
              </w:rPr>
              <w:t>2018</w:t>
            </w:r>
          </w:p>
        </w:tc>
      </w:tr>
      <w:tr w:rsidR="00A845A9" w:rsidRPr="004C079E" w:rsidTr="00A845A9">
        <w:tc>
          <w:tcPr>
            <w:tcW w:w="1383" w:type="dxa"/>
            <w:tcBorders>
              <w:top w:val="nil"/>
              <w:left w:val="nil"/>
              <w:bottom w:val="nil"/>
              <w:right w:val="nil"/>
            </w:tcBorders>
            <w:vAlign w:val="center"/>
          </w:tcPr>
          <w:p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BY </w:t>
            </w:r>
          </w:p>
        </w:tc>
        <w:tc>
          <w:tcPr>
            <w:tcW w:w="7146" w:type="dxa"/>
            <w:tcBorders>
              <w:top w:val="nil"/>
              <w:left w:val="nil"/>
              <w:bottom w:val="nil"/>
              <w:right w:val="nil"/>
            </w:tcBorders>
            <w:vAlign w:val="center"/>
          </w:tcPr>
          <w:p w:rsidR="00A845A9" w:rsidRPr="00E56B88" w:rsidRDefault="003F05EF" w:rsidP="008B0541">
            <w:pPr>
              <w:spacing w:before="120" w:after="120"/>
              <w:rPr>
                <w:rFonts w:ascii="Arial" w:hAnsi="Arial" w:cs="Arial"/>
                <w:b/>
                <w:bCs/>
                <w:sz w:val="24"/>
                <w:szCs w:val="24"/>
              </w:rPr>
            </w:pPr>
            <w:r>
              <w:rPr>
                <w:rFonts w:ascii="Arial" w:hAnsi="Arial" w:cs="Arial"/>
                <w:b/>
                <w:bCs/>
                <w:sz w:val="24"/>
                <w:szCs w:val="24"/>
              </w:rPr>
              <w:t>Jeremy Miles AM, Counsel General</w:t>
            </w:r>
            <w:r w:rsidR="0078082C">
              <w:rPr>
                <w:rFonts w:ascii="Arial" w:hAnsi="Arial" w:cs="Arial"/>
                <w:b/>
                <w:bCs/>
                <w:sz w:val="24"/>
                <w:szCs w:val="24"/>
              </w:rPr>
              <w:t xml:space="preserve"> </w:t>
            </w:r>
            <w:r w:rsidR="008B0541">
              <w:rPr>
                <w:rFonts w:ascii="Arial" w:hAnsi="Arial" w:cs="Arial"/>
                <w:b/>
                <w:bCs/>
                <w:sz w:val="24"/>
                <w:szCs w:val="24"/>
              </w:rPr>
              <w:t>Designate</w:t>
            </w:r>
            <w:r w:rsidR="0051791E">
              <w:rPr>
                <w:rFonts w:ascii="Arial" w:hAnsi="Arial" w:cs="Arial"/>
                <w:b/>
                <w:bCs/>
                <w:sz w:val="24"/>
                <w:szCs w:val="24"/>
              </w:rPr>
              <w:t xml:space="preserve"> and </w:t>
            </w:r>
            <w:r w:rsidR="00C9338B">
              <w:rPr>
                <w:rFonts w:ascii="Arial" w:hAnsi="Arial" w:cs="Arial"/>
                <w:b/>
                <w:bCs/>
                <w:sz w:val="24"/>
                <w:szCs w:val="24"/>
              </w:rPr>
              <w:t>Brexit Minister</w:t>
            </w:r>
          </w:p>
        </w:tc>
      </w:tr>
    </w:tbl>
    <w:p w:rsidR="00A845A9" w:rsidRPr="005E4A15" w:rsidRDefault="00A845A9" w:rsidP="00A845A9">
      <w:pPr>
        <w:rPr>
          <w:rFonts w:ascii="Arial" w:hAnsi="Arial" w:cs="Arial"/>
          <w:sz w:val="24"/>
          <w:szCs w:val="24"/>
        </w:rPr>
      </w:pPr>
    </w:p>
    <w:p w:rsidR="008B0541" w:rsidRPr="005E4A15" w:rsidRDefault="008B0541" w:rsidP="00B862E6">
      <w:pPr>
        <w:rPr>
          <w:rFonts w:ascii="Arial" w:hAnsi="Arial" w:cs="Arial"/>
          <w:sz w:val="24"/>
          <w:szCs w:val="24"/>
          <w:lang w:val="en-US"/>
        </w:rPr>
      </w:pPr>
      <w:r w:rsidRPr="005E4A15">
        <w:rPr>
          <w:rFonts w:ascii="Arial" w:hAnsi="Arial" w:cs="Arial"/>
          <w:sz w:val="24"/>
          <w:szCs w:val="24"/>
          <w:lang w:val="en-US"/>
        </w:rPr>
        <w:t>As members will be aware, the Supreme Court has now handed down judgment in th</w:t>
      </w:r>
      <w:r w:rsidR="00415884" w:rsidRPr="005E4A15">
        <w:rPr>
          <w:rFonts w:ascii="Arial" w:hAnsi="Arial" w:cs="Arial"/>
          <w:sz w:val="24"/>
          <w:szCs w:val="24"/>
          <w:lang w:val="en-US"/>
        </w:rPr>
        <w:t>e Reference of the UK Withdrawal from the European Union (Legal Continuity) (Scotland) Bill.</w:t>
      </w:r>
    </w:p>
    <w:p w:rsidR="008B0541" w:rsidRPr="005E4A15" w:rsidRDefault="008B0541" w:rsidP="00B862E6">
      <w:pPr>
        <w:rPr>
          <w:rFonts w:ascii="Arial" w:hAnsi="Arial" w:cs="Arial"/>
          <w:sz w:val="24"/>
          <w:szCs w:val="24"/>
          <w:lang w:val="en-US"/>
        </w:rPr>
      </w:pPr>
    </w:p>
    <w:p w:rsidR="005E4A15" w:rsidRPr="005E4A15" w:rsidRDefault="00A46464" w:rsidP="00B862E6">
      <w:pPr>
        <w:rPr>
          <w:rFonts w:ascii="Arial" w:hAnsi="Arial" w:cs="Arial"/>
          <w:sz w:val="24"/>
          <w:szCs w:val="24"/>
          <w:lang w:val="en-US"/>
        </w:rPr>
      </w:pPr>
      <w:r w:rsidRPr="005E4A15">
        <w:rPr>
          <w:rFonts w:ascii="Arial" w:hAnsi="Arial" w:cs="Arial"/>
          <w:sz w:val="24"/>
          <w:szCs w:val="24"/>
          <w:lang w:val="en-US"/>
        </w:rPr>
        <w:t xml:space="preserve">I intervened in these proceedings to ensure Wales’ voice was heard and to seek clarity on an important constitutional principle, so </w:t>
      </w:r>
      <w:r w:rsidR="00E50464" w:rsidRPr="005E4A15">
        <w:rPr>
          <w:rFonts w:ascii="Arial" w:hAnsi="Arial" w:cs="Arial"/>
          <w:sz w:val="24"/>
          <w:szCs w:val="24"/>
          <w:lang w:val="en-US"/>
        </w:rPr>
        <w:t xml:space="preserve">I welcome the Court’s </w:t>
      </w:r>
      <w:r w:rsidR="00C42889" w:rsidRPr="005E4A15">
        <w:rPr>
          <w:rFonts w:ascii="Arial" w:hAnsi="Arial" w:cs="Arial"/>
          <w:sz w:val="24"/>
          <w:szCs w:val="24"/>
          <w:lang w:val="en-US"/>
        </w:rPr>
        <w:t>judgment</w:t>
      </w:r>
      <w:r w:rsidR="006D1B39" w:rsidRPr="005E4A15">
        <w:rPr>
          <w:rFonts w:ascii="Arial" w:hAnsi="Arial" w:cs="Arial"/>
          <w:sz w:val="24"/>
          <w:szCs w:val="24"/>
          <w:lang w:val="en-US"/>
        </w:rPr>
        <w:t xml:space="preserve"> </w:t>
      </w:r>
      <w:r w:rsidR="00AF6D4E" w:rsidRPr="005E4A15">
        <w:rPr>
          <w:rFonts w:ascii="Arial" w:hAnsi="Arial" w:cs="Arial"/>
          <w:sz w:val="24"/>
          <w:szCs w:val="24"/>
          <w:lang w:val="en-US"/>
        </w:rPr>
        <w:t xml:space="preserve">and the clarity that it has brought to the scope of devolved powers across all devolution frameworks. I appreciate that the judgment concerns </w:t>
      </w:r>
      <w:r w:rsidR="003F536C" w:rsidRPr="005E4A15">
        <w:rPr>
          <w:rFonts w:ascii="Arial" w:hAnsi="Arial" w:cs="Arial"/>
          <w:sz w:val="24"/>
          <w:szCs w:val="24"/>
          <w:lang w:val="en-US"/>
        </w:rPr>
        <w:t xml:space="preserve">the specific question as to whether the provisions of the Scottish Bill are in competence, </w:t>
      </w:r>
      <w:r w:rsidR="00AF6D4E" w:rsidRPr="005E4A15">
        <w:rPr>
          <w:rFonts w:ascii="Arial" w:hAnsi="Arial" w:cs="Arial"/>
          <w:sz w:val="24"/>
          <w:szCs w:val="24"/>
          <w:lang w:val="en-US"/>
        </w:rPr>
        <w:t xml:space="preserve">but it will have relevance to the powers of the Assembly going forward. </w:t>
      </w:r>
    </w:p>
    <w:p w:rsidR="00AF6D4E" w:rsidRPr="005E4A15" w:rsidRDefault="00AF6D4E" w:rsidP="00B862E6">
      <w:pPr>
        <w:rPr>
          <w:rFonts w:ascii="Arial" w:hAnsi="Arial" w:cs="Arial"/>
          <w:sz w:val="24"/>
          <w:szCs w:val="24"/>
          <w:lang w:val="en-US"/>
        </w:rPr>
      </w:pPr>
    </w:p>
    <w:p w:rsidR="00C17103" w:rsidRPr="005E4A15" w:rsidRDefault="00A46464" w:rsidP="00B862E6">
      <w:pPr>
        <w:rPr>
          <w:rFonts w:ascii="Arial" w:hAnsi="Arial" w:cs="Arial"/>
          <w:sz w:val="24"/>
          <w:szCs w:val="24"/>
        </w:rPr>
      </w:pPr>
      <w:r w:rsidRPr="005E4A15">
        <w:rPr>
          <w:rFonts w:ascii="Arial" w:hAnsi="Arial" w:cs="Arial"/>
          <w:sz w:val="24"/>
          <w:szCs w:val="24"/>
          <w:lang w:val="en-US"/>
        </w:rPr>
        <w:t>T</w:t>
      </w:r>
      <w:r w:rsidR="006D1B39" w:rsidRPr="005E4A15">
        <w:rPr>
          <w:rFonts w:ascii="Arial" w:hAnsi="Arial" w:cs="Arial"/>
          <w:sz w:val="24"/>
          <w:szCs w:val="24"/>
          <w:lang w:val="en-US"/>
        </w:rPr>
        <w:t>he Court</w:t>
      </w:r>
      <w:r w:rsidR="00AF6D4E" w:rsidRPr="005E4A15">
        <w:rPr>
          <w:rFonts w:ascii="Arial" w:hAnsi="Arial" w:cs="Arial"/>
          <w:sz w:val="24"/>
          <w:szCs w:val="24"/>
          <w:lang w:val="en-US"/>
        </w:rPr>
        <w:t>’s</w:t>
      </w:r>
      <w:r w:rsidR="006D1B39" w:rsidRPr="005E4A15">
        <w:rPr>
          <w:rFonts w:ascii="Arial" w:hAnsi="Arial" w:cs="Arial"/>
          <w:sz w:val="24"/>
          <w:szCs w:val="24"/>
          <w:lang w:val="en-US"/>
        </w:rPr>
        <w:t xml:space="preserve"> accept</w:t>
      </w:r>
      <w:r w:rsidR="00AF6D4E" w:rsidRPr="005E4A15">
        <w:rPr>
          <w:rFonts w:ascii="Arial" w:hAnsi="Arial" w:cs="Arial"/>
          <w:sz w:val="24"/>
          <w:szCs w:val="24"/>
          <w:lang w:val="en-US"/>
        </w:rPr>
        <w:t>ance of</w:t>
      </w:r>
      <w:r w:rsidR="006D1B39" w:rsidRPr="005E4A15">
        <w:rPr>
          <w:rFonts w:ascii="Arial" w:hAnsi="Arial" w:cs="Arial"/>
          <w:sz w:val="24"/>
          <w:szCs w:val="24"/>
          <w:lang w:val="en-US"/>
        </w:rPr>
        <w:t xml:space="preserve"> the arguments advanced on behalf of both the</w:t>
      </w:r>
      <w:r w:rsidR="0051791E" w:rsidRPr="005E4A15">
        <w:rPr>
          <w:rFonts w:ascii="Arial" w:hAnsi="Arial" w:cs="Arial"/>
          <w:sz w:val="24"/>
          <w:szCs w:val="24"/>
          <w:lang w:val="en-US"/>
        </w:rPr>
        <w:t xml:space="preserve"> Scottish and Welsh Government</w:t>
      </w:r>
      <w:r w:rsidR="00A921A3" w:rsidRPr="005E4A15">
        <w:rPr>
          <w:rFonts w:ascii="Arial" w:hAnsi="Arial" w:cs="Arial"/>
          <w:sz w:val="24"/>
          <w:szCs w:val="24"/>
          <w:lang w:val="en-US"/>
        </w:rPr>
        <w:t>s</w:t>
      </w:r>
      <w:r w:rsidR="0051791E" w:rsidRPr="005E4A15">
        <w:rPr>
          <w:rFonts w:ascii="Arial" w:hAnsi="Arial" w:cs="Arial"/>
          <w:sz w:val="24"/>
          <w:szCs w:val="24"/>
          <w:lang w:val="en-US"/>
        </w:rPr>
        <w:t xml:space="preserve"> </w:t>
      </w:r>
      <w:r w:rsidR="00AF6D4E" w:rsidRPr="005E4A15">
        <w:rPr>
          <w:rFonts w:ascii="Arial" w:hAnsi="Arial" w:cs="Arial"/>
          <w:sz w:val="24"/>
          <w:szCs w:val="24"/>
          <w:lang w:val="en-US"/>
        </w:rPr>
        <w:t>regarding the scope of the international relations reservation</w:t>
      </w:r>
      <w:r w:rsidRPr="005E4A15">
        <w:rPr>
          <w:rFonts w:ascii="Arial" w:hAnsi="Arial" w:cs="Arial"/>
          <w:sz w:val="24"/>
          <w:szCs w:val="24"/>
          <w:lang w:val="en-US"/>
        </w:rPr>
        <w:t xml:space="preserve"> puts it</w:t>
      </w:r>
      <w:r w:rsidR="00AF6D4E" w:rsidRPr="005E4A15">
        <w:rPr>
          <w:rFonts w:ascii="Arial" w:hAnsi="Arial" w:cs="Arial"/>
          <w:sz w:val="24"/>
          <w:szCs w:val="24"/>
          <w:lang w:val="en-US"/>
        </w:rPr>
        <w:t xml:space="preserve"> now beyond doubt that legislating to regulate the domestic consequences of international agreements</w:t>
      </w:r>
      <w:r w:rsidR="003F536C" w:rsidRPr="005E4A15">
        <w:rPr>
          <w:rFonts w:ascii="Arial" w:hAnsi="Arial" w:cs="Arial"/>
          <w:sz w:val="24"/>
          <w:szCs w:val="24"/>
        </w:rPr>
        <w:t xml:space="preserve"> does not fall within the scope of that reservation.</w:t>
      </w:r>
      <w:r w:rsidR="00B862E6" w:rsidRPr="005E4A15">
        <w:rPr>
          <w:rFonts w:ascii="Arial" w:hAnsi="Arial" w:cs="Arial"/>
          <w:sz w:val="24"/>
          <w:szCs w:val="24"/>
        </w:rPr>
        <w:t xml:space="preserve"> </w:t>
      </w:r>
    </w:p>
    <w:p w:rsidR="00C17103" w:rsidRPr="005E4A15" w:rsidRDefault="00C17103" w:rsidP="00B862E6">
      <w:pPr>
        <w:rPr>
          <w:rFonts w:ascii="Arial" w:hAnsi="Arial" w:cs="Arial"/>
          <w:sz w:val="24"/>
          <w:szCs w:val="24"/>
        </w:rPr>
      </w:pPr>
    </w:p>
    <w:p w:rsidR="00A46464" w:rsidRPr="005E4A15" w:rsidRDefault="00A46464" w:rsidP="00B862E6">
      <w:pPr>
        <w:rPr>
          <w:rFonts w:ascii="Arial" w:hAnsi="Arial" w:cs="Arial"/>
          <w:sz w:val="24"/>
          <w:szCs w:val="24"/>
        </w:rPr>
      </w:pPr>
      <w:r w:rsidRPr="005E4A15">
        <w:rPr>
          <w:rFonts w:ascii="Arial" w:hAnsi="Arial" w:cs="Arial"/>
          <w:sz w:val="24"/>
          <w:szCs w:val="24"/>
        </w:rPr>
        <w:t xml:space="preserve">It is however the case that the intervention of the passing of the EU (Withdrawal) Act has meant that provisions which </w:t>
      </w:r>
      <w:r w:rsidR="00087681" w:rsidRPr="005E4A15">
        <w:rPr>
          <w:rFonts w:ascii="Arial" w:hAnsi="Arial" w:cs="Arial"/>
          <w:sz w:val="24"/>
          <w:szCs w:val="24"/>
        </w:rPr>
        <w:t>would have been</w:t>
      </w:r>
      <w:r w:rsidRPr="005E4A15">
        <w:rPr>
          <w:rFonts w:ascii="Arial" w:hAnsi="Arial" w:cs="Arial"/>
          <w:sz w:val="24"/>
          <w:szCs w:val="24"/>
        </w:rPr>
        <w:t xml:space="preserve"> in competence are no longer within competence, making the Scottish Bill inoperable now (even if it would not have been at the time it was passed by the Parliament).</w:t>
      </w:r>
    </w:p>
    <w:p w:rsidR="00A46464" w:rsidRPr="005E4A15" w:rsidRDefault="00A46464" w:rsidP="00B862E6">
      <w:pPr>
        <w:rPr>
          <w:rFonts w:ascii="Arial" w:hAnsi="Arial" w:cs="Arial"/>
          <w:sz w:val="24"/>
          <w:szCs w:val="24"/>
        </w:rPr>
      </w:pPr>
    </w:p>
    <w:p w:rsidR="00A921A3" w:rsidRPr="005E4A15" w:rsidRDefault="00AF6D4E" w:rsidP="00B862E6">
      <w:pPr>
        <w:rPr>
          <w:rFonts w:ascii="Arial" w:hAnsi="Arial" w:cs="Arial"/>
          <w:sz w:val="24"/>
          <w:szCs w:val="24"/>
        </w:rPr>
      </w:pPr>
      <w:r w:rsidRPr="005E4A15">
        <w:rPr>
          <w:rFonts w:ascii="Arial" w:hAnsi="Arial" w:cs="Arial"/>
          <w:sz w:val="24"/>
          <w:szCs w:val="24"/>
          <w:lang w:val="en-US"/>
        </w:rPr>
        <w:t>We have been clear throughout that intervention in these proceedings was not about our own Law Derived from the European Union (Wales) Act</w:t>
      </w:r>
      <w:r w:rsidR="00A921A3" w:rsidRPr="005E4A15">
        <w:rPr>
          <w:rFonts w:ascii="Arial" w:hAnsi="Arial" w:cs="Arial"/>
          <w:sz w:val="24"/>
          <w:szCs w:val="24"/>
          <w:lang w:val="en-US"/>
        </w:rPr>
        <w:t xml:space="preserve">. </w:t>
      </w:r>
      <w:r w:rsidR="00A921A3" w:rsidRPr="005E4A15">
        <w:rPr>
          <w:rFonts w:ascii="Arial" w:hAnsi="Arial" w:cs="Arial"/>
          <w:sz w:val="24"/>
          <w:szCs w:val="24"/>
        </w:rPr>
        <w:t>The Welsh Government has always been clear in its position that our decision to bring forward the Law Derived from the European Union (Wales) Act was only ever a fall back option as our preferred course of action was for an EU (Withdrawal) Act which properly delivered for the whole of the UK.</w:t>
      </w:r>
    </w:p>
    <w:p w:rsidR="00A46464" w:rsidRPr="005E4A15" w:rsidRDefault="00A46464" w:rsidP="00A46464">
      <w:pPr>
        <w:rPr>
          <w:rFonts w:ascii="Arial" w:hAnsi="Arial" w:cs="Arial"/>
          <w:sz w:val="24"/>
          <w:szCs w:val="24"/>
          <w:lang w:val="en-US"/>
        </w:rPr>
      </w:pPr>
    </w:p>
    <w:p w:rsidR="00A921A3" w:rsidRPr="005E4A15" w:rsidRDefault="00A46464" w:rsidP="00A46464">
      <w:pPr>
        <w:rPr>
          <w:rFonts w:ascii="Arial" w:hAnsi="Arial" w:cs="Arial"/>
          <w:sz w:val="24"/>
          <w:szCs w:val="24"/>
        </w:rPr>
      </w:pPr>
      <w:r w:rsidRPr="005E4A15">
        <w:rPr>
          <w:rFonts w:ascii="Arial" w:hAnsi="Arial" w:cs="Arial"/>
          <w:sz w:val="24"/>
          <w:szCs w:val="24"/>
          <w:lang w:val="en-US"/>
        </w:rPr>
        <w:t>T</w:t>
      </w:r>
      <w:r w:rsidRPr="005E4A15">
        <w:rPr>
          <w:rFonts w:ascii="Arial" w:hAnsi="Arial" w:cs="Arial"/>
          <w:sz w:val="24"/>
          <w:szCs w:val="24"/>
        </w:rPr>
        <w:t>hrough the changes that were made to the EU (Withdrawal) Act and the accompanying Intergovernmental Agreement, we were able to secure the protection of devolution in Wales and make sure that laws and policy areas which are currently devolved remain devolved.</w:t>
      </w:r>
    </w:p>
    <w:p w:rsidR="00A46464" w:rsidRPr="005E4A15" w:rsidRDefault="00A46464" w:rsidP="00B862E6">
      <w:pPr>
        <w:rPr>
          <w:rFonts w:ascii="Arial" w:hAnsi="Arial" w:cs="Arial"/>
          <w:sz w:val="24"/>
          <w:szCs w:val="24"/>
        </w:rPr>
      </w:pPr>
    </w:p>
    <w:p w:rsidR="00A921A3" w:rsidRPr="003D665B" w:rsidRDefault="00A46464" w:rsidP="00B862E6">
      <w:pPr>
        <w:rPr>
          <w:rFonts w:ascii="Arial" w:hAnsi="Arial" w:cs="Arial"/>
          <w:sz w:val="24"/>
          <w:szCs w:val="24"/>
        </w:rPr>
      </w:pPr>
      <w:r w:rsidRPr="005E4A15">
        <w:rPr>
          <w:rFonts w:ascii="Arial" w:hAnsi="Arial" w:cs="Arial"/>
          <w:sz w:val="24"/>
          <w:szCs w:val="24"/>
        </w:rPr>
        <w:t>H</w:t>
      </w:r>
      <w:r w:rsidR="00A921A3" w:rsidRPr="005E4A15">
        <w:rPr>
          <w:rFonts w:ascii="Arial" w:hAnsi="Arial" w:cs="Arial"/>
          <w:sz w:val="24"/>
          <w:szCs w:val="24"/>
        </w:rPr>
        <w:t>ad we not</w:t>
      </w:r>
      <w:r w:rsidR="00087681" w:rsidRPr="005E4A15">
        <w:rPr>
          <w:rFonts w:ascii="Arial" w:hAnsi="Arial" w:cs="Arial"/>
          <w:sz w:val="24"/>
          <w:szCs w:val="24"/>
        </w:rPr>
        <w:t xml:space="preserve"> secured</w:t>
      </w:r>
      <w:r w:rsidR="00A921A3" w:rsidRPr="005E4A15">
        <w:rPr>
          <w:rFonts w:ascii="Arial" w:hAnsi="Arial" w:cs="Arial"/>
          <w:sz w:val="24"/>
          <w:szCs w:val="24"/>
        </w:rPr>
        <w:t xml:space="preserve"> the Intergovernmental Agreement</w:t>
      </w:r>
      <w:r w:rsidRPr="005E4A15">
        <w:rPr>
          <w:rFonts w:ascii="Arial" w:hAnsi="Arial" w:cs="Arial"/>
          <w:sz w:val="24"/>
          <w:szCs w:val="24"/>
        </w:rPr>
        <w:t>,</w:t>
      </w:r>
      <w:r w:rsidR="005E4A15">
        <w:rPr>
          <w:rFonts w:ascii="Arial" w:hAnsi="Arial" w:cs="Arial"/>
          <w:sz w:val="24"/>
          <w:szCs w:val="24"/>
        </w:rPr>
        <w:t xml:space="preserve"> </w:t>
      </w:r>
      <w:r w:rsidRPr="005E4A15">
        <w:rPr>
          <w:rFonts w:ascii="Arial" w:hAnsi="Arial" w:cs="Arial"/>
          <w:sz w:val="24"/>
          <w:szCs w:val="24"/>
        </w:rPr>
        <w:t>o</w:t>
      </w:r>
      <w:r w:rsidR="00B03CB2" w:rsidRPr="005E4A15">
        <w:rPr>
          <w:rFonts w:ascii="Arial" w:hAnsi="Arial" w:cs="Arial"/>
          <w:sz w:val="24"/>
          <w:szCs w:val="24"/>
        </w:rPr>
        <w:t>ur</w:t>
      </w:r>
      <w:r w:rsidR="00A921A3" w:rsidRPr="005E4A15">
        <w:rPr>
          <w:rFonts w:ascii="Arial" w:hAnsi="Arial" w:cs="Arial"/>
          <w:sz w:val="24"/>
          <w:szCs w:val="24"/>
        </w:rPr>
        <w:t xml:space="preserve"> Bill</w:t>
      </w:r>
      <w:r w:rsidRPr="005E4A15">
        <w:rPr>
          <w:rFonts w:ascii="Arial" w:hAnsi="Arial" w:cs="Arial"/>
          <w:sz w:val="24"/>
          <w:szCs w:val="24"/>
        </w:rPr>
        <w:t xml:space="preserve"> too</w:t>
      </w:r>
      <w:r w:rsidR="00A921A3" w:rsidRPr="005E4A15">
        <w:rPr>
          <w:rFonts w:ascii="Arial" w:hAnsi="Arial" w:cs="Arial"/>
          <w:sz w:val="24"/>
          <w:szCs w:val="24"/>
        </w:rPr>
        <w:t xml:space="preserve"> would have been before the Supreme Court alongside the Scottish Bill and in all likelihood subject to the same result  </w:t>
      </w:r>
      <w:r w:rsidR="00AB5C4B">
        <w:rPr>
          <w:rFonts w:ascii="Arial" w:hAnsi="Arial" w:cs="Arial"/>
          <w:sz w:val="24"/>
          <w:szCs w:val="24"/>
        </w:rPr>
        <w:t xml:space="preserve">- </w:t>
      </w:r>
      <w:r w:rsidRPr="005E4A15">
        <w:rPr>
          <w:rFonts w:ascii="Arial" w:hAnsi="Arial" w:cs="Arial"/>
          <w:sz w:val="24"/>
          <w:szCs w:val="24"/>
        </w:rPr>
        <w:t xml:space="preserve">within competence when passed by the Assembly but many of its provisions now </w:t>
      </w:r>
      <w:r w:rsidR="00A921A3" w:rsidRPr="005E4A15">
        <w:rPr>
          <w:rFonts w:ascii="Arial" w:hAnsi="Arial" w:cs="Arial"/>
          <w:sz w:val="24"/>
          <w:szCs w:val="24"/>
        </w:rPr>
        <w:t xml:space="preserve">held to be outside competence due </w:t>
      </w:r>
      <w:r w:rsidRPr="005E4A15">
        <w:rPr>
          <w:rFonts w:ascii="Arial" w:hAnsi="Arial" w:cs="Arial"/>
          <w:sz w:val="24"/>
          <w:szCs w:val="24"/>
        </w:rPr>
        <w:t xml:space="preserve">only </w:t>
      </w:r>
      <w:r w:rsidR="00A921A3" w:rsidRPr="005E4A15">
        <w:rPr>
          <w:rFonts w:ascii="Arial" w:hAnsi="Arial" w:cs="Arial"/>
          <w:sz w:val="24"/>
          <w:szCs w:val="24"/>
        </w:rPr>
        <w:t>to the impact of the subsequent enactment of the European Union (Withdrawal) Act</w:t>
      </w:r>
      <w:r w:rsidR="00A86413" w:rsidRPr="003D665B">
        <w:rPr>
          <w:rFonts w:ascii="Arial" w:hAnsi="Arial" w:cs="Arial"/>
          <w:sz w:val="24"/>
          <w:szCs w:val="24"/>
        </w:rPr>
        <w:t>.</w:t>
      </w:r>
      <w:r w:rsidR="00A921A3" w:rsidRPr="003D665B">
        <w:rPr>
          <w:rFonts w:ascii="Arial" w:hAnsi="Arial" w:cs="Arial"/>
          <w:sz w:val="24"/>
          <w:szCs w:val="24"/>
        </w:rPr>
        <w:t xml:space="preserve"> </w:t>
      </w:r>
      <w:r w:rsidR="003D665B" w:rsidRPr="003D665B">
        <w:rPr>
          <w:rFonts w:ascii="Arial" w:hAnsi="Arial" w:cs="Arial"/>
          <w:sz w:val="24"/>
          <w:szCs w:val="24"/>
        </w:rPr>
        <w:t xml:space="preserve"> In other words, without the Inter-governmental agreement our Bill would not yet have been enacted and would now have been rendered inoperable.</w:t>
      </w:r>
    </w:p>
    <w:p w:rsidR="00A921A3" w:rsidRPr="003D665B" w:rsidRDefault="00A921A3" w:rsidP="00B862E6">
      <w:pPr>
        <w:rPr>
          <w:rFonts w:ascii="Arial" w:hAnsi="Arial" w:cs="Arial"/>
          <w:sz w:val="24"/>
          <w:szCs w:val="24"/>
        </w:rPr>
      </w:pPr>
    </w:p>
    <w:p w:rsidR="00B862E6" w:rsidRPr="003D665B" w:rsidRDefault="00A921A3" w:rsidP="00B862E6">
      <w:pPr>
        <w:rPr>
          <w:rFonts w:ascii="Arial" w:hAnsi="Arial" w:cs="Arial"/>
          <w:sz w:val="24"/>
          <w:szCs w:val="24"/>
        </w:rPr>
      </w:pPr>
      <w:r w:rsidRPr="003D665B">
        <w:rPr>
          <w:rFonts w:ascii="Arial" w:hAnsi="Arial" w:cs="Arial"/>
          <w:sz w:val="24"/>
          <w:szCs w:val="24"/>
        </w:rPr>
        <w:t>It is now time to move on and focus on the bigger picture. The UK Government must put the country first and make sure we do not</w:t>
      </w:r>
      <w:r w:rsidR="00693C0C" w:rsidRPr="003D665B">
        <w:rPr>
          <w:rFonts w:ascii="Arial" w:hAnsi="Arial" w:cs="Arial"/>
          <w:sz w:val="24"/>
          <w:szCs w:val="24"/>
        </w:rPr>
        <w:t xml:space="preserve"> career headlong</w:t>
      </w:r>
      <w:r w:rsidRPr="003D665B">
        <w:rPr>
          <w:rFonts w:ascii="Arial" w:hAnsi="Arial" w:cs="Arial"/>
          <w:sz w:val="24"/>
          <w:szCs w:val="24"/>
        </w:rPr>
        <w:t xml:space="preserve"> to a no deal Brexit</w:t>
      </w:r>
      <w:r w:rsidR="001F75F9" w:rsidRPr="003D665B">
        <w:rPr>
          <w:rFonts w:ascii="Arial" w:hAnsi="Arial" w:cs="Arial"/>
          <w:sz w:val="24"/>
          <w:szCs w:val="24"/>
        </w:rPr>
        <w:t>,</w:t>
      </w:r>
      <w:r w:rsidRPr="003D665B">
        <w:rPr>
          <w:rFonts w:ascii="Arial" w:hAnsi="Arial" w:cs="Arial"/>
          <w:sz w:val="24"/>
          <w:szCs w:val="24"/>
        </w:rPr>
        <w:t xml:space="preserve"> and secure an agreement that </w:t>
      </w:r>
      <w:r w:rsidR="001F75F9" w:rsidRPr="003D665B">
        <w:rPr>
          <w:rFonts w:ascii="Arial" w:hAnsi="Arial" w:cs="Arial"/>
          <w:sz w:val="24"/>
          <w:szCs w:val="24"/>
        </w:rPr>
        <w:t>prioritises the economy and jobs.</w:t>
      </w:r>
    </w:p>
    <w:p w:rsidR="00B862E6" w:rsidRDefault="00B862E6" w:rsidP="00B862E6">
      <w:pPr>
        <w:rPr>
          <w:rFonts w:ascii="Arial" w:hAnsi="Arial" w:cs="Arial"/>
          <w:sz w:val="24"/>
          <w:szCs w:val="24"/>
        </w:rPr>
      </w:pPr>
    </w:p>
    <w:p w:rsidR="003D665B" w:rsidRPr="003D665B" w:rsidRDefault="003D665B" w:rsidP="00B862E6">
      <w:pPr>
        <w:rPr>
          <w:rFonts w:ascii="Arial" w:hAnsi="Arial" w:cs="Arial"/>
          <w:sz w:val="24"/>
          <w:szCs w:val="24"/>
        </w:rPr>
      </w:pPr>
      <w:r w:rsidRPr="003D665B">
        <w:rPr>
          <w:rFonts w:ascii="Arial" w:hAnsi="Arial" w:cs="Arial"/>
          <w:sz w:val="24"/>
          <w:szCs w:val="24"/>
          <w:shd w:val="clear" w:color="auto" w:fill="FFFFFF"/>
        </w:rPr>
        <w:t>This statement is being issued during recess in order to keep members informed. Should members wish me to make a further statement or to answer questions on this when the Assembly returns I would be happy to do so.</w:t>
      </w:r>
    </w:p>
    <w:p w:rsidR="00B862E6" w:rsidRPr="005E4A15" w:rsidRDefault="00B862E6" w:rsidP="00B862E6">
      <w:pPr>
        <w:pBdr>
          <w:top w:val="nil"/>
          <w:left w:val="nil"/>
          <w:bottom w:val="nil"/>
          <w:right w:val="nil"/>
          <w:between w:val="nil"/>
        </w:pBdr>
        <w:contextualSpacing/>
        <w:jc w:val="both"/>
        <w:rPr>
          <w:rFonts w:ascii="Arial" w:hAnsi="Arial" w:cs="Arial"/>
          <w:sz w:val="24"/>
          <w:szCs w:val="24"/>
        </w:rPr>
      </w:pPr>
    </w:p>
    <w:p w:rsidR="002A21BD" w:rsidRPr="005E4A15" w:rsidRDefault="002A21BD" w:rsidP="00B862E6">
      <w:pPr>
        <w:pBdr>
          <w:top w:val="nil"/>
          <w:left w:val="nil"/>
          <w:bottom w:val="nil"/>
          <w:right w:val="nil"/>
          <w:between w:val="nil"/>
        </w:pBdr>
        <w:contextualSpacing/>
        <w:jc w:val="both"/>
        <w:rPr>
          <w:rFonts w:ascii="Arial" w:hAnsi="Arial" w:cs="Arial"/>
          <w:sz w:val="24"/>
          <w:szCs w:val="24"/>
        </w:rPr>
      </w:pPr>
    </w:p>
    <w:p w:rsidR="00162170" w:rsidRPr="005E4A15" w:rsidRDefault="00162170" w:rsidP="003B6FF2">
      <w:pPr>
        <w:spacing w:line="360" w:lineRule="auto"/>
        <w:rPr>
          <w:rFonts w:ascii="Arial" w:hAnsi="Arial" w:cs="Arial"/>
          <w:sz w:val="24"/>
          <w:szCs w:val="24"/>
          <w:lang w:val="en-US"/>
        </w:rPr>
      </w:pPr>
    </w:p>
    <w:sectPr w:rsidR="00162170" w:rsidRPr="005E4A15" w:rsidSect="007A56D1">
      <w:headerReference w:type="first" r:id="rId8"/>
      <w:pgSz w:w="11906" w:h="16838" w:code="9"/>
      <w:pgMar w:top="1240" w:right="709" w:bottom="284" w:left="1418" w:header="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52" w:rsidRDefault="00185552">
      <w:r>
        <w:separator/>
      </w:r>
    </w:p>
  </w:endnote>
  <w:endnote w:type="continuationSeparator" w:id="0">
    <w:p w:rsidR="00185552" w:rsidRDefault="0018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52" w:rsidRDefault="00185552">
      <w:r>
        <w:separator/>
      </w:r>
    </w:p>
  </w:footnote>
  <w:footnote w:type="continuationSeparator" w:id="0">
    <w:p w:rsidR="00185552" w:rsidRDefault="00185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15" w:rsidRDefault="00F862BF">
    <w:r>
      <w:rPr>
        <w:noProof/>
        <w:lang w:eastAsia="en-GB"/>
      </w:rPr>
      <w:drawing>
        <wp:anchor distT="0" distB="0" distL="114300" distR="114300" simplePos="0" relativeHeight="251659264" behindDoc="1" locked="0" layoutInCell="1" allowOverlap="1">
          <wp:simplePos x="0" y="0"/>
          <wp:positionH relativeFrom="column">
            <wp:posOffset>4737735</wp:posOffset>
          </wp:positionH>
          <wp:positionV relativeFrom="paragraph">
            <wp:posOffset>147320</wp:posOffset>
          </wp:positionV>
          <wp:extent cx="1476375" cy="1400175"/>
          <wp:effectExtent l="0" t="0" r="0" b="0"/>
          <wp:wrapNone/>
          <wp:docPr id="1"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A15">
      <w:t xml:space="preserve"> </w:t>
    </w:r>
  </w:p>
  <w:p w:rsidR="005E4A15" w:rsidRDefault="005E4A15">
    <w:pPr>
      <w:pStyle w:val="Header"/>
    </w:pPr>
  </w:p>
  <w:p w:rsidR="005E4A15" w:rsidRDefault="005E4A15" w:rsidP="00F862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C7D35"/>
    <w:multiLevelType w:val="multilevel"/>
    <w:tmpl w:val="48987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371ADF"/>
    <w:multiLevelType w:val="hybridMultilevel"/>
    <w:tmpl w:val="04E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A20865"/>
    <w:multiLevelType w:val="hybridMultilevel"/>
    <w:tmpl w:val="FF88C598"/>
    <w:lvl w:ilvl="0" w:tplc="1D5A527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4">
    <w:abstractNumId w:val="2"/>
  </w:num>
  <w:num w:numId="5">
    <w:abstractNumId w:val="3"/>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25CF"/>
    <w:rsid w:val="00014EFA"/>
    <w:rsid w:val="000204AB"/>
    <w:rsid w:val="00023B69"/>
    <w:rsid w:val="0005274D"/>
    <w:rsid w:val="00054BA2"/>
    <w:rsid w:val="00076A07"/>
    <w:rsid w:val="00087681"/>
    <w:rsid w:val="00090C3D"/>
    <w:rsid w:val="000C3A52"/>
    <w:rsid w:val="000C53DB"/>
    <w:rsid w:val="00134918"/>
    <w:rsid w:val="00162170"/>
    <w:rsid w:val="0017102C"/>
    <w:rsid w:val="00172B0B"/>
    <w:rsid w:val="001767AF"/>
    <w:rsid w:val="00185552"/>
    <w:rsid w:val="00194B3D"/>
    <w:rsid w:val="001A39E2"/>
    <w:rsid w:val="001C3BC8"/>
    <w:rsid w:val="001C532F"/>
    <w:rsid w:val="001D5AD4"/>
    <w:rsid w:val="001F578D"/>
    <w:rsid w:val="001F75F9"/>
    <w:rsid w:val="00223E62"/>
    <w:rsid w:val="0023441D"/>
    <w:rsid w:val="00245B3F"/>
    <w:rsid w:val="00256418"/>
    <w:rsid w:val="00275F1B"/>
    <w:rsid w:val="00276D51"/>
    <w:rsid w:val="002A21BD"/>
    <w:rsid w:val="002A5310"/>
    <w:rsid w:val="002C57B6"/>
    <w:rsid w:val="002C5A11"/>
    <w:rsid w:val="002D72A9"/>
    <w:rsid w:val="00307A57"/>
    <w:rsid w:val="00314E36"/>
    <w:rsid w:val="003220C1"/>
    <w:rsid w:val="003273DE"/>
    <w:rsid w:val="00344349"/>
    <w:rsid w:val="00356D7B"/>
    <w:rsid w:val="00357253"/>
    <w:rsid w:val="0036439E"/>
    <w:rsid w:val="00370471"/>
    <w:rsid w:val="00380585"/>
    <w:rsid w:val="00381A6F"/>
    <w:rsid w:val="00396358"/>
    <w:rsid w:val="003A0575"/>
    <w:rsid w:val="003B1503"/>
    <w:rsid w:val="003B6D2F"/>
    <w:rsid w:val="003B6FF2"/>
    <w:rsid w:val="003C5133"/>
    <w:rsid w:val="003D665B"/>
    <w:rsid w:val="003F05EF"/>
    <w:rsid w:val="003F536C"/>
    <w:rsid w:val="003F6A70"/>
    <w:rsid w:val="004145A1"/>
    <w:rsid w:val="00415884"/>
    <w:rsid w:val="004349BC"/>
    <w:rsid w:val="0046757C"/>
    <w:rsid w:val="004A25C6"/>
    <w:rsid w:val="004A30ED"/>
    <w:rsid w:val="004B52EA"/>
    <w:rsid w:val="004C079E"/>
    <w:rsid w:val="004D2865"/>
    <w:rsid w:val="005041C1"/>
    <w:rsid w:val="0051791E"/>
    <w:rsid w:val="00574BB3"/>
    <w:rsid w:val="00596364"/>
    <w:rsid w:val="005A0509"/>
    <w:rsid w:val="005A22E2"/>
    <w:rsid w:val="005B030B"/>
    <w:rsid w:val="005B72A9"/>
    <w:rsid w:val="005D7663"/>
    <w:rsid w:val="005E4A15"/>
    <w:rsid w:val="005F1982"/>
    <w:rsid w:val="005F791A"/>
    <w:rsid w:val="0064281E"/>
    <w:rsid w:val="00654C0A"/>
    <w:rsid w:val="006633C7"/>
    <w:rsid w:val="00663DC0"/>
    <w:rsid w:val="00663F04"/>
    <w:rsid w:val="006814BD"/>
    <w:rsid w:val="00693C0C"/>
    <w:rsid w:val="006A6542"/>
    <w:rsid w:val="006B0646"/>
    <w:rsid w:val="006B340E"/>
    <w:rsid w:val="006B461D"/>
    <w:rsid w:val="006D1B39"/>
    <w:rsid w:val="006E0A2C"/>
    <w:rsid w:val="00703993"/>
    <w:rsid w:val="007069BD"/>
    <w:rsid w:val="0072377A"/>
    <w:rsid w:val="0073380E"/>
    <w:rsid w:val="00743B79"/>
    <w:rsid w:val="00752C48"/>
    <w:rsid w:val="007632F5"/>
    <w:rsid w:val="0078082C"/>
    <w:rsid w:val="00786D19"/>
    <w:rsid w:val="007A56D1"/>
    <w:rsid w:val="007B211B"/>
    <w:rsid w:val="007B5260"/>
    <w:rsid w:val="007C24E7"/>
    <w:rsid w:val="007C37D3"/>
    <w:rsid w:val="007C39AE"/>
    <w:rsid w:val="007D1402"/>
    <w:rsid w:val="007D7A37"/>
    <w:rsid w:val="007E0D2E"/>
    <w:rsid w:val="007F5E64"/>
    <w:rsid w:val="00812370"/>
    <w:rsid w:val="008179E8"/>
    <w:rsid w:val="00822CC7"/>
    <w:rsid w:val="0082411A"/>
    <w:rsid w:val="00841628"/>
    <w:rsid w:val="008422F4"/>
    <w:rsid w:val="00877BD2"/>
    <w:rsid w:val="008867C0"/>
    <w:rsid w:val="008A069B"/>
    <w:rsid w:val="008B0541"/>
    <w:rsid w:val="008D1E0B"/>
    <w:rsid w:val="008F789E"/>
    <w:rsid w:val="00921CE7"/>
    <w:rsid w:val="00926382"/>
    <w:rsid w:val="00953A46"/>
    <w:rsid w:val="00964DB5"/>
    <w:rsid w:val="00967473"/>
    <w:rsid w:val="00991FAA"/>
    <w:rsid w:val="009A4896"/>
    <w:rsid w:val="009D5D8B"/>
    <w:rsid w:val="009E4974"/>
    <w:rsid w:val="009F06C3"/>
    <w:rsid w:val="00A23742"/>
    <w:rsid w:val="00A26109"/>
    <w:rsid w:val="00A3247B"/>
    <w:rsid w:val="00A46464"/>
    <w:rsid w:val="00A7070E"/>
    <w:rsid w:val="00A72519"/>
    <w:rsid w:val="00A72CF3"/>
    <w:rsid w:val="00A763BC"/>
    <w:rsid w:val="00A831D4"/>
    <w:rsid w:val="00A845A9"/>
    <w:rsid w:val="00A86413"/>
    <w:rsid w:val="00A86958"/>
    <w:rsid w:val="00A921A3"/>
    <w:rsid w:val="00A92E3C"/>
    <w:rsid w:val="00A933D9"/>
    <w:rsid w:val="00AA5651"/>
    <w:rsid w:val="00AA7750"/>
    <w:rsid w:val="00AB5C4B"/>
    <w:rsid w:val="00AB6AEE"/>
    <w:rsid w:val="00AD0D90"/>
    <w:rsid w:val="00AE064D"/>
    <w:rsid w:val="00AF056B"/>
    <w:rsid w:val="00AF6D4E"/>
    <w:rsid w:val="00B03CB2"/>
    <w:rsid w:val="00B048CC"/>
    <w:rsid w:val="00B07540"/>
    <w:rsid w:val="00B21E33"/>
    <w:rsid w:val="00B239BA"/>
    <w:rsid w:val="00B244EF"/>
    <w:rsid w:val="00B468BB"/>
    <w:rsid w:val="00B50CEF"/>
    <w:rsid w:val="00B6240C"/>
    <w:rsid w:val="00B862E6"/>
    <w:rsid w:val="00BD1BFB"/>
    <w:rsid w:val="00C17103"/>
    <w:rsid w:val="00C42889"/>
    <w:rsid w:val="00C47380"/>
    <w:rsid w:val="00C609E6"/>
    <w:rsid w:val="00C6603F"/>
    <w:rsid w:val="00C9338B"/>
    <w:rsid w:val="00CC04AC"/>
    <w:rsid w:val="00CF3DC5"/>
    <w:rsid w:val="00D017E2"/>
    <w:rsid w:val="00D16D97"/>
    <w:rsid w:val="00D27CB9"/>
    <w:rsid w:val="00D27F42"/>
    <w:rsid w:val="00D64AA1"/>
    <w:rsid w:val="00D7762B"/>
    <w:rsid w:val="00D80D23"/>
    <w:rsid w:val="00DD4B82"/>
    <w:rsid w:val="00E1556F"/>
    <w:rsid w:val="00E24703"/>
    <w:rsid w:val="00E32F37"/>
    <w:rsid w:val="00E3419E"/>
    <w:rsid w:val="00E352D4"/>
    <w:rsid w:val="00E47B1A"/>
    <w:rsid w:val="00E50464"/>
    <w:rsid w:val="00E56B88"/>
    <w:rsid w:val="00E631B1"/>
    <w:rsid w:val="00E76D0D"/>
    <w:rsid w:val="00EA5C1D"/>
    <w:rsid w:val="00EB5F93"/>
    <w:rsid w:val="00EC0568"/>
    <w:rsid w:val="00EE721A"/>
    <w:rsid w:val="00EF129F"/>
    <w:rsid w:val="00F0272E"/>
    <w:rsid w:val="00F03496"/>
    <w:rsid w:val="00F21439"/>
    <w:rsid w:val="00F21615"/>
    <w:rsid w:val="00F51B23"/>
    <w:rsid w:val="00F60E1F"/>
    <w:rsid w:val="00F81C33"/>
    <w:rsid w:val="00F83426"/>
    <w:rsid w:val="00F862BF"/>
    <w:rsid w:val="00F97613"/>
    <w:rsid w:val="00FD6A5F"/>
    <w:rsid w:val="00FF0966"/>
    <w:rsid w:val="00FF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ED882"/>
  <w15:chartTrackingRefBased/>
  <w15:docId w15:val="{12126050-1300-44CD-8461-9448F9B4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CommentReference">
    <w:name w:val="annotation reference"/>
    <w:rsid w:val="00B244EF"/>
    <w:rPr>
      <w:sz w:val="16"/>
      <w:szCs w:val="16"/>
    </w:rPr>
  </w:style>
  <w:style w:type="paragraph" w:styleId="CommentText">
    <w:name w:val="annotation text"/>
    <w:basedOn w:val="Normal"/>
    <w:link w:val="CommentTextChar"/>
    <w:rsid w:val="00B244EF"/>
    <w:rPr>
      <w:sz w:val="20"/>
    </w:rPr>
  </w:style>
  <w:style w:type="character" w:customStyle="1" w:styleId="CommentTextChar">
    <w:name w:val="Comment Text Char"/>
    <w:link w:val="CommentText"/>
    <w:rsid w:val="00B244EF"/>
    <w:rPr>
      <w:rFonts w:ascii="TradeGothic" w:hAnsi="TradeGothic"/>
      <w:lang w:eastAsia="en-US"/>
    </w:rPr>
  </w:style>
  <w:style w:type="paragraph" w:styleId="CommentSubject">
    <w:name w:val="annotation subject"/>
    <w:basedOn w:val="CommentText"/>
    <w:next w:val="CommentText"/>
    <w:link w:val="CommentSubjectChar"/>
    <w:rsid w:val="00B244EF"/>
    <w:rPr>
      <w:b/>
      <w:bCs/>
    </w:rPr>
  </w:style>
  <w:style w:type="character" w:customStyle="1" w:styleId="CommentSubjectChar">
    <w:name w:val="Comment Subject Char"/>
    <w:link w:val="CommentSubject"/>
    <w:rsid w:val="00B244EF"/>
    <w:rPr>
      <w:rFonts w:ascii="TradeGothic" w:hAnsi="TradeGothic"/>
      <w:b/>
      <w:bCs/>
      <w:lang w:eastAsia="en-US"/>
    </w:rPr>
  </w:style>
  <w:style w:type="paragraph" w:styleId="BalloonText">
    <w:name w:val="Balloon Text"/>
    <w:basedOn w:val="Normal"/>
    <w:link w:val="BalloonTextChar"/>
    <w:rsid w:val="00B244EF"/>
    <w:rPr>
      <w:rFonts w:ascii="Tahoma" w:hAnsi="Tahoma" w:cs="Tahoma"/>
      <w:sz w:val="16"/>
      <w:szCs w:val="16"/>
    </w:rPr>
  </w:style>
  <w:style w:type="character" w:customStyle="1" w:styleId="BalloonTextChar">
    <w:name w:val="Balloon Text Char"/>
    <w:link w:val="BalloonText"/>
    <w:rsid w:val="00B244EF"/>
    <w:rPr>
      <w:rFonts w:ascii="Tahoma" w:hAnsi="Tahoma" w:cs="Tahoma"/>
      <w:sz w:val="16"/>
      <w:szCs w:val="16"/>
      <w:lang w:eastAsia="en-US"/>
    </w:rPr>
  </w:style>
  <w:style w:type="paragraph" w:styleId="ListParagraph">
    <w:name w:val="List Paragraph"/>
    <w:basedOn w:val="Normal"/>
    <w:uiPriority w:val="34"/>
    <w:qFormat/>
    <w:rsid w:val="00C9338B"/>
    <w:pPr>
      <w:ind w:left="720"/>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31513">
      <w:bodyDiv w:val="1"/>
      <w:marLeft w:val="0"/>
      <w:marRight w:val="0"/>
      <w:marTop w:val="0"/>
      <w:marBottom w:val="0"/>
      <w:divBdr>
        <w:top w:val="none" w:sz="0" w:space="0" w:color="auto"/>
        <w:left w:val="none" w:sz="0" w:space="0" w:color="auto"/>
        <w:bottom w:val="none" w:sz="0" w:space="0" w:color="auto"/>
        <w:right w:val="none" w:sz="0" w:space="0" w:color="auto"/>
      </w:divBdr>
    </w:div>
    <w:div w:id="5893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A20724588</value>
    </field>
    <field name="Objective-Title">
      <value order="0">Statement - Oral - English</value>
    </field>
    <field name="Objective-Description">
      <value order="0"/>
    </field>
    <field name="Objective-CreationStamp">
      <value order="0">2018-01-09T08:32:57Z</value>
    </field>
    <field name="Objective-IsApproved">
      <value order="0">false</value>
    </field>
    <field name="Objective-IsPublished">
      <value order="0">true</value>
    </field>
    <field name="Objective-DatePublished">
      <value order="0">2018-01-09T08:33:14Z</value>
    </field>
    <field name="Objective-ModificationStamp">
      <value order="0">2018-01-09T08:33:14Z</value>
    </field>
    <field name="Objective-Owner">
      <value order="0">Carey, Helen (OFM - Cabinet Division)</value>
    </field>
    <field name="Objective-Path">
      <value order="0">Objective Global Folder:Corporate File Plan:GOVERNMENT BUSINESS:Government Business - Cabinet:NAfW Term 5 - Cabinet:Government Business - Cabinet:Intranet and Internet - Content - Cabinet, Plenary and Committee Secretariat - 2016:Intranet - Templates</value>
    </field>
    <field name="Objective-Parent">
      <value order="0">Intranet - Templates</value>
    </field>
    <field name="Objective-State">
      <value order="0">Published</value>
    </field>
    <field name="Objective-VersionId">
      <value order="0">vA41473462</value>
    </field>
    <field name="Objective-Version">
      <value order="0">1.0</value>
    </field>
    <field name="Objective-VersionNumber">
      <value order="0">2</value>
    </field>
    <field name="Objective-VersionComment">
      <value order="0">Version 2</value>
    </field>
    <field name="Objective-FileNumber">
      <value order="0">qA1246663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2018-01-09T22:59:59Z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2018-12-20T00:00:00+00:00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D4A9861-7730-4348-B660-1203D7D08F33}"/>
</file>

<file path=customXml/itemProps3.xml><?xml version="1.0" encoding="utf-8"?>
<ds:datastoreItem xmlns:ds="http://schemas.openxmlformats.org/officeDocument/2006/customXml" ds:itemID="{9E145D71-CEA9-40F1-9B19-E37F857ECE66}"/>
</file>

<file path=customXml/itemProps4.xml><?xml version="1.0" encoding="utf-8"?>
<ds:datastoreItem xmlns:ds="http://schemas.openxmlformats.org/officeDocument/2006/customXml" ds:itemID="{42889BA3-E090-4C23-8EF9-1F5C4938A8EB}"/>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Reference: UK Withdrawal from the European Union (Legal Continuity) (Scotland) Bill.</dc:title>
  <dc:subject/>
  <dc:creator>Sandra Farrugia</dc:creator>
  <cp:keywords/>
  <cp:lastModifiedBy>Carey, Helen (OFM - Cabinet Division)</cp:lastModifiedBy>
  <cp:revision>2</cp:revision>
  <cp:lastPrinted>2018-12-18T18:48:00Z</cp:lastPrinted>
  <dcterms:created xsi:type="dcterms:W3CDTF">2018-12-20T16:31:00Z</dcterms:created>
  <dcterms:modified xsi:type="dcterms:W3CDTF">2018-12-20T16:31:00Z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A24677128</vt:lpwstr>
  </property>
  <property fmtid="{D5CDD505-2E9C-101B-9397-08002B2CF9AE}" pid="4" name="Objective-Title">
    <vt:lpwstr>CG Written Statement Supreme Court Reference 20.12.18</vt:lpwstr>
  </property>
  <property fmtid="{D5CDD505-2E9C-101B-9397-08002B2CF9AE}" pid="5" name="Objective-Comment">
    <vt:lpwstr/>
  </property>
  <property fmtid="{D5CDD505-2E9C-101B-9397-08002B2CF9AE}" pid="6" name="Objective-CreationStamp">
    <vt:filetime>2018-12-19T13:01:49Z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2018-12-20T10:06:58Z</vt:filetime>
  </property>
  <property fmtid="{D5CDD505-2E9C-101B-9397-08002B2CF9AE}" pid="10" name="Objective-ModificationStamp">
    <vt:filetime>2018-12-20T10:06:58Z</vt:filetime>
  </property>
  <property fmtid="{D5CDD505-2E9C-101B-9397-08002B2CF9AE}" pid="11" name="Objective-Owner">
    <vt:lpwstr>Davies, Rhys (OFM - Legal Services Department)</vt:lpwstr>
  </property>
  <property fmtid="{D5CDD505-2E9C-101B-9397-08002B2CF9AE}" pid="12" name="Objective-Path">
    <vt:lpwstr>Objective Global Folder:Business File Plan:Office of the First Minister (OFM):Office of the First Minister (OFM) - Legal Services - Constitution, Europe, Health and Counsel General for Wales:1 - Save:Europe &amp; Governance Team:RESTRICTED - Europe and Govern</vt:lpwstr>
  </property>
  <property fmtid="{D5CDD505-2E9C-101B-9397-08002B2CF9AE}" pid="13" name="Objective-Parent">
    <vt:lpwstr>Judgment</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qA1348012</vt:lpwstr>
  </property>
  <property fmtid="{D5CDD505-2E9C-101B-9397-08002B2CF9AE}" pid="19" name="Objective-Classification">
    <vt:lpwstr>[Inherited - Official - Sensitive]</vt:lpwstr>
  </property>
  <property fmtid="{D5CDD505-2E9C-101B-9397-08002B2CF9AE}" pid="20" name="Objective-Caveats">
    <vt:lpwstr>group - BFP3 - File Access Control Groups: # Main Legal Services Group - Restricted Secure Areas; </vt:lpwstr>
  </property>
  <property fmtid="{D5CDD505-2E9C-101B-9397-08002B2CF9AE}" pid="21" name="Objective-Language [system]">
    <vt:lpwstr>English (eng)</vt:lpwstr>
  </property>
  <property fmtid="{D5CDD505-2E9C-101B-9397-08002B2CF9AE}" pid="22" name="Objective-Date Acquired [system]">
    <vt:filetime>2018-12-19T00:00:00Z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vA41473462</vt:lpwstr>
  </property>
  <property fmtid="{D5CDD505-2E9C-101B-9397-08002B2CF9AE}" pid="28" name="Objective-Language">
    <vt:lpwstr>English (eng)</vt:lpwstr>
  </property>
  <property fmtid="{D5CDD505-2E9C-101B-9397-08002B2CF9AE}" pid="29" name="Objective-Date Acquired">
    <vt:filetime>2018-01-09T22:59:59Z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SI template version">
    <vt:lpwstr>Version 9.0</vt:lpwstr>
  </property>
  <property fmtid="{D5CDD505-2E9C-101B-9397-08002B2CF9AE}" pid="34" name="LastOSversion">
    <vt:lpwstr>14.0</vt:lpwstr>
  </property>
  <property fmtid="{D5CDD505-2E9C-101B-9397-08002B2CF9AE}" pid="35" name="ContentTypeId">
    <vt:lpwstr>0x010100C32B317B5CB4014E8FDC61FB98CB49750066DDDDA8424970449BEE8C4A4D2809D6</vt:lpwstr>
  </property>
</Properties>
</file>