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ABB4" w14:textId="77777777" w:rsidR="001A39E2" w:rsidRDefault="001A39E2" w:rsidP="001A39E2">
      <w:pPr>
        <w:jc w:val="right"/>
        <w:rPr>
          <w:b/>
        </w:rPr>
      </w:pPr>
    </w:p>
    <w:p w14:paraId="05E7F801" w14:textId="77777777" w:rsidR="002515E4" w:rsidRDefault="002515E4" w:rsidP="001A39E2">
      <w:pPr>
        <w:jc w:val="right"/>
        <w:rPr>
          <w:b/>
        </w:rPr>
      </w:pPr>
    </w:p>
    <w:p w14:paraId="2F21E926" w14:textId="77777777" w:rsidR="002515E4" w:rsidRDefault="002515E4" w:rsidP="001A39E2">
      <w:pPr>
        <w:jc w:val="right"/>
        <w:rPr>
          <w:b/>
        </w:rPr>
      </w:pPr>
    </w:p>
    <w:p w14:paraId="42FA25C7" w14:textId="77777777" w:rsidR="002515E4" w:rsidRDefault="002515E4" w:rsidP="001A39E2">
      <w:pPr>
        <w:jc w:val="right"/>
        <w:rPr>
          <w:b/>
        </w:rPr>
      </w:pPr>
    </w:p>
    <w:p w14:paraId="11882E5E" w14:textId="77777777" w:rsidR="002515E4" w:rsidRDefault="002515E4" w:rsidP="001A39E2">
      <w:pPr>
        <w:jc w:val="right"/>
        <w:rPr>
          <w:b/>
        </w:rPr>
      </w:pPr>
    </w:p>
    <w:p w14:paraId="30679548" w14:textId="77777777" w:rsidR="002515E4" w:rsidRDefault="002515E4" w:rsidP="001A39E2">
      <w:pPr>
        <w:jc w:val="right"/>
        <w:rPr>
          <w:b/>
        </w:rPr>
      </w:pPr>
    </w:p>
    <w:p w14:paraId="10D6A96D" w14:textId="77777777" w:rsidR="002515E4" w:rsidRDefault="002515E4" w:rsidP="001A39E2">
      <w:pPr>
        <w:jc w:val="right"/>
        <w:rPr>
          <w:b/>
        </w:rPr>
      </w:pPr>
    </w:p>
    <w:p w14:paraId="162E6BE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32B8F7" wp14:editId="32EE869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3E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EE445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8C001F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918241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E2D6B8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AE24CD" wp14:editId="4AC68D0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DFC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85312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3C4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50739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7B3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32FE4F" w14:textId="77777777" w:rsidR="00EA5290" w:rsidRPr="00670227" w:rsidRDefault="00D053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 Advice Networks</w:t>
            </w:r>
            <w:bookmarkEnd w:id="0"/>
          </w:p>
        </w:tc>
      </w:tr>
      <w:tr w:rsidR="00EA5290" w:rsidRPr="00A011A1" w14:paraId="368CD6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7CE5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CF19" w14:textId="4EA3FEDA" w:rsidR="00EA5290" w:rsidRPr="00670227" w:rsidRDefault="00D053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January 2020</w:t>
            </w:r>
          </w:p>
        </w:tc>
      </w:tr>
      <w:tr w:rsidR="00EA5290" w:rsidRPr="00A011A1" w14:paraId="64AEB4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DBC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756D" w14:textId="77777777" w:rsidR="00EA5290" w:rsidRPr="00670227" w:rsidRDefault="00D053F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Hutt, Deputy Minister and Chief Whip</w:t>
            </w:r>
          </w:p>
        </w:tc>
      </w:tr>
    </w:tbl>
    <w:p w14:paraId="1D4BE382" w14:textId="77777777" w:rsidR="00EA5290" w:rsidRPr="00A011A1" w:rsidRDefault="00EA5290" w:rsidP="00EA5290"/>
    <w:p w14:paraId="0363B10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28AC889" w14:textId="77777777" w:rsidR="00D053F2" w:rsidRDefault="00D053F2" w:rsidP="00D053F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issuing this</w:t>
      </w:r>
      <w:r w:rsidRPr="00057F0D">
        <w:rPr>
          <w:rFonts w:ascii="Arial" w:hAnsi="Arial" w:cs="Arial"/>
          <w:sz w:val="24"/>
          <w:szCs w:val="24"/>
        </w:rPr>
        <w:t xml:space="preserve"> statement to update Members </w:t>
      </w:r>
      <w:r w:rsidRPr="00BC227B">
        <w:rPr>
          <w:rFonts w:ascii="Arial" w:hAnsi="Arial" w:cs="Arial"/>
          <w:sz w:val="24"/>
          <w:szCs w:val="24"/>
        </w:rPr>
        <w:t>on our continued support for Advice Services.</w:t>
      </w:r>
    </w:p>
    <w:p w14:paraId="413C00B1" w14:textId="77777777" w:rsidR="00A845A9" w:rsidRDefault="00A845A9" w:rsidP="00A845A9"/>
    <w:p w14:paraId="35F366BC" w14:textId="4D7A8190" w:rsidR="008C558F" w:rsidRPr="008C558F" w:rsidRDefault="008C558F" w:rsidP="008C558F">
      <w:pPr>
        <w:contextualSpacing/>
        <w:rPr>
          <w:rFonts w:ascii="Arial" w:hAnsi="Arial"/>
          <w:sz w:val="24"/>
          <w:szCs w:val="24"/>
        </w:rPr>
      </w:pPr>
      <w:r w:rsidRPr="008C558F">
        <w:rPr>
          <w:rFonts w:ascii="Arial" w:hAnsi="Arial"/>
          <w:sz w:val="24"/>
          <w:szCs w:val="24"/>
        </w:rPr>
        <w:t>Welsh Government is committed to supporting advice providers so people have access to free and impartial advice on a range of issues including debt, money management issues, housing and welfare</w:t>
      </w:r>
      <w:r w:rsidR="002B6DB9">
        <w:rPr>
          <w:rFonts w:ascii="Arial" w:hAnsi="Arial"/>
          <w:sz w:val="24"/>
          <w:szCs w:val="24"/>
        </w:rPr>
        <w:t xml:space="preserve"> benefits</w:t>
      </w:r>
      <w:r w:rsidRPr="008C558F">
        <w:rPr>
          <w:rFonts w:ascii="Arial" w:hAnsi="Arial"/>
          <w:sz w:val="24"/>
          <w:szCs w:val="24"/>
        </w:rPr>
        <w:t xml:space="preserve">.  </w:t>
      </w:r>
    </w:p>
    <w:p w14:paraId="55B90B5E" w14:textId="77777777" w:rsidR="008C558F" w:rsidRDefault="008C558F" w:rsidP="00A845A9">
      <w:pPr>
        <w:rPr>
          <w:rFonts w:ascii="Arial" w:hAnsi="Arial" w:cs="Arial"/>
          <w:sz w:val="24"/>
          <w:szCs w:val="24"/>
        </w:rPr>
      </w:pPr>
    </w:p>
    <w:p w14:paraId="36F60385" w14:textId="77777777" w:rsidR="00D053F2" w:rsidRDefault="00D053F2" w:rsidP="00A845A9">
      <w:pPr>
        <w:rPr>
          <w:rFonts w:ascii="Arial" w:hAnsi="Arial" w:cs="Arial"/>
          <w:sz w:val="24"/>
          <w:szCs w:val="24"/>
        </w:rPr>
      </w:pPr>
      <w:r w:rsidRPr="00D053F2">
        <w:rPr>
          <w:rFonts w:ascii="Arial" w:hAnsi="Arial" w:cs="Arial"/>
          <w:sz w:val="24"/>
          <w:szCs w:val="24"/>
        </w:rPr>
        <w:t>Members may recall that on 2</w:t>
      </w:r>
      <w:r w:rsidRPr="00D053F2">
        <w:rPr>
          <w:rFonts w:ascii="Arial" w:hAnsi="Arial" w:cs="Arial"/>
          <w:sz w:val="24"/>
          <w:szCs w:val="24"/>
          <w:vertAlign w:val="superscript"/>
        </w:rPr>
        <w:t>nd</w:t>
      </w:r>
      <w:r w:rsidRPr="00D053F2">
        <w:rPr>
          <w:rFonts w:ascii="Arial" w:hAnsi="Arial" w:cs="Arial"/>
          <w:sz w:val="24"/>
          <w:szCs w:val="24"/>
        </w:rPr>
        <w:t xml:space="preserve"> October</w:t>
      </w:r>
      <w:r w:rsidR="00B25A6A">
        <w:rPr>
          <w:rFonts w:ascii="Arial" w:hAnsi="Arial" w:cs="Arial"/>
          <w:sz w:val="24"/>
          <w:szCs w:val="24"/>
        </w:rPr>
        <w:t xml:space="preserve"> </w:t>
      </w:r>
      <w:r w:rsidRPr="00D053F2">
        <w:rPr>
          <w:rFonts w:ascii="Arial" w:hAnsi="Arial" w:cs="Arial"/>
          <w:sz w:val="24"/>
          <w:szCs w:val="24"/>
        </w:rPr>
        <w:t>2019, I issu</w:t>
      </w:r>
      <w:r>
        <w:rPr>
          <w:rFonts w:ascii="Arial" w:hAnsi="Arial" w:cs="Arial"/>
          <w:sz w:val="24"/>
          <w:szCs w:val="24"/>
        </w:rPr>
        <w:t>ed a written statement announcing the that</w:t>
      </w:r>
      <w:r w:rsidRPr="006F1A5C">
        <w:rPr>
          <w:rFonts w:ascii="Arial" w:hAnsi="Arial" w:cs="Arial"/>
          <w:sz w:val="24"/>
          <w:szCs w:val="24"/>
        </w:rPr>
        <w:t xml:space="preserve"> £8</w:t>
      </w:r>
      <w:r>
        <w:rPr>
          <w:rFonts w:ascii="Arial" w:hAnsi="Arial" w:cs="Arial"/>
          <w:sz w:val="24"/>
          <w:szCs w:val="24"/>
        </w:rPr>
        <w:t>.04</w:t>
      </w:r>
      <w:r w:rsidRPr="006F1A5C">
        <w:rPr>
          <w:rFonts w:ascii="Arial" w:hAnsi="Arial" w:cs="Arial"/>
          <w:sz w:val="24"/>
          <w:szCs w:val="24"/>
        </w:rPr>
        <w:t xml:space="preserve"> million in grant funding was being made available through the Welsh Government’s new Single Advice Fund</w:t>
      </w:r>
      <w:r>
        <w:rPr>
          <w:rFonts w:ascii="Arial" w:hAnsi="Arial" w:cs="Arial"/>
          <w:sz w:val="24"/>
          <w:szCs w:val="24"/>
        </w:rPr>
        <w:t xml:space="preserve"> for the provision of social welfare advice services during 2020.</w:t>
      </w:r>
    </w:p>
    <w:p w14:paraId="16F1CE26" w14:textId="77777777" w:rsidR="00D053F2" w:rsidRDefault="00D053F2" w:rsidP="00A845A9">
      <w:pPr>
        <w:rPr>
          <w:rFonts w:ascii="Arial" w:hAnsi="Arial" w:cs="Arial"/>
          <w:sz w:val="24"/>
          <w:szCs w:val="24"/>
        </w:rPr>
      </w:pPr>
    </w:p>
    <w:p w14:paraId="557E508F" w14:textId="77777777" w:rsidR="00D053F2" w:rsidRDefault="00D053F2" w:rsidP="00A845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This was one of a number of developments aimed at increasing access to </w:t>
      </w:r>
      <w:r w:rsidR="003326CC">
        <w:rPr>
          <w:rFonts w:ascii="Arial" w:hAnsi="Arial" w:cs="Arial"/>
          <w:sz w:val="24"/>
          <w:szCs w:val="24"/>
        </w:rPr>
        <w:t>advice s</w:t>
      </w:r>
      <w:r>
        <w:rPr>
          <w:rFonts w:ascii="Arial" w:hAnsi="Arial" w:cs="Arial"/>
          <w:sz w:val="24"/>
          <w:szCs w:val="24"/>
        </w:rPr>
        <w:t>ervices for those people who need them.</w:t>
      </w:r>
      <w:proofErr w:type="gramEnd"/>
      <w:r>
        <w:rPr>
          <w:rFonts w:ascii="Arial" w:hAnsi="Arial" w:cs="Arial"/>
          <w:sz w:val="24"/>
          <w:szCs w:val="24"/>
        </w:rPr>
        <w:t xml:space="preserve"> I am now able to announce a further successful development – the establishment of regional advice networks across Wales.</w:t>
      </w:r>
    </w:p>
    <w:p w14:paraId="69E56619" w14:textId="77777777" w:rsidR="00D053F2" w:rsidRDefault="00D053F2" w:rsidP="00A845A9">
      <w:pPr>
        <w:rPr>
          <w:rFonts w:ascii="Arial" w:hAnsi="Arial" w:cs="Arial"/>
          <w:sz w:val="24"/>
          <w:szCs w:val="24"/>
        </w:rPr>
      </w:pPr>
    </w:p>
    <w:p w14:paraId="208AB95B" w14:textId="77777777" w:rsidR="00D053F2" w:rsidRDefault="00D053F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Welsh Government has a lead strategi</w:t>
      </w:r>
      <w:r w:rsidR="003326CC">
        <w:rPr>
          <w:rFonts w:ascii="Arial" w:hAnsi="Arial" w:cs="Arial"/>
          <w:sz w:val="24"/>
          <w:szCs w:val="24"/>
        </w:rPr>
        <w:t>c role in increasing access to advice s</w:t>
      </w:r>
      <w:r>
        <w:rPr>
          <w:rFonts w:ascii="Arial" w:hAnsi="Arial" w:cs="Arial"/>
          <w:sz w:val="24"/>
          <w:szCs w:val="24"/>
        </w:rPr>
        <w:t xml:space="preserve">ervices, ensuring that advice providers are working closely together to help people with multiple social welfare advice problems and ensuring that the wide range of funding supporting </w:t>
      </w:r>
      <w:r w:rsidR="003326CC">
        <w:rPr>
          <w:rFonts w:ascii="Arial" w:hAnsi="Arial" w:cs="Arial"/>
          <w:sz w:val="24"/>
          <w:szCs w:val="24"/>
        </w:rPr>
        <w:t>advice s</w:t>
      </w:r>
      <w:r>
        <w:rPr>
          <w:rFonts w:ascii="Arial" w:hAnsi="Arial" w:cs="Arial"/>
          <w:sz w:val="24"/>
          <w:szCs w:val="24"/>
        </w:rPr>
        <w:t>ervices achieves the maximum benefit for the people of Wales.</w:t>
      </w:r>
      <w:r w:rsidR="00194F4E" w:rsidRPr="00194F4E">
        <w:t xml:space="preserve"> </w:t>
      </w:r>
      <w:r w:rsidR="00194F4E" w:rsidRPr="00194F4E">
        <w:rPr>
          <w:rFonts w:ascii="Arial" w:hAnsi="Arial" w:cs="Arial"/>
          <w:sz w:val="24"/>
          <w:szCs w:val="24"/>
        </w:rPr>
        <w:t xml:space="preserve">These </w:t>
      </w:r>
      <w:r w:rsidR="00194F4E">
        <w:rPr>
          <w:rFonts w:ascii="Arial" w:hAnsi="Arial" w:cs="Arial"/>
          <w:sz w:val="24"/>
          <w:szCs w:val="24"/>
        </w:rPr>
        <w:t>ambitions</w:t>
      </w:r>
      <w:r w:rsidR="00194F4E" w:rsidRPr="00194F4E">
        <w:rPr>
          <w:rFonts w:ascii="Arial" w:hAnsi="Arial" w:cs="Arial"/>
          <w:sz w:val="24"/>
          <w:szCs w:val="24"/>
        </w:rPr>
        <w:t xml:space="preserve"> are contained within the Information and Advice Action Plan for Wales </w:t>
      </w:r>
      <w:r w:rsidR="00194F4E">
        <w:rPr>
          <w:rFonts w:ascii="Arial" w:hAnsi="Arial" w:cs="Arial"/>
          <w:sz w:val="24"/>
          <w:szCs w:val="24"/>
        </w:rPr>
        <w:t xml:space="preserve">that </w:t>
      </w:r>
      <w:r w:rsidR="00194F4E" w:rsidRPr="00194F4E">
        <w:rPr>
          <w:rFonts w:ascii="Arial" w:hAnsi="Arial" w:cs="Arial"/>
          <w:sz w:val="24"/>
          <w:szCs w:val="24"/>
        </w:rPr>
        <w:t>we published in 2016.</w:t>
      </w:r>
    </w:p>
    <w:p w14:paraId="04F59D99" w14:textId="77777777" w:rsidR="00D053F2" w:rsidRDefault="00D053F2" w:rsidP="00A845A9">
      <w:pPr>
        <w:rPr>
          <w:rFonts w:ascii="Arial" w:hAnsi="Arial" w:cs="Arial"/>
          <w:sz w:val="24"/>
          <w:szCs w:val="24"/>
        </w:rPr>
      </w:pPr>
    </w:p>
    <w:p w14:paraId="5DAB9946" w14:textId="028ECAA7" w:rsidR="00D053F2" w:rsidRDefault="00D053F2" w:rsidP="00A845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These ambitions however cannot be achieved by the Welsh Government alone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79395F">
        <w:rPr>
          <w:rFonts w:ascii="Arial" w:hAnsi="Arial" w:cs="Arial"/>
          <w:sz w:val="24"/>
          <w:szCs w:val="24"/>
        </w:rPr>
        <w:t xml:space="preserve">They </w:t>
      </w:r>
      <w:proofErr w:type="gramStart"/>
      <w:r w:rsidR="0079395F">
        <w:rPr>
          <w:rFonts w:ascii="Arial" w:hAnsi="Arial" w:cs="Arial"/>
          <w:sz w:val="24"/>
          <w:szCs w:val="24"/>
        </w:rPr>
        <w:t>can only be achieved</w:t>
      </w:r>
      <w:proofErr w:type="gramEnd"/>
      <w:r w:rsidR="0079395F">
        <w:rPr>
          <w:rFonts w:ascii="Arial" w:hAnsi="Arial" w:cs="Arial"/>
          <w:sz w:val="24"/>
          <w:szCs w:val="24"/>
        </w:rPr>
        <w:t xml:space="preserve"> </w:t>
      </w:r>
      <w:r w:rsidR="003326CC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advice providers, planners and funders work together to offer joined-up services and to address unmet need. </w:t>
      </w:r>
    </w:p>
    <w:p w14:paraId="1B23F018" w14:textId="77777777" w:rsidR="0079395F" w:rsidRDefault="0079395F" w:rsidP="00A845A9">
      <w:pPr>
        <w:rPr>
          <w:rFonts w:ascii="Arial" w:hAnsi="Arial" w:cs="Arial"/>
          <w:sz w:val="24"/>
          <w:szCs w:val="24"/>
        </w:rPr>
      </w:pPr>
    </w:p>
    <w:p w14:paraId="4CBE7E24" w14:textId="0CD4BF00" w:rsidR="0079395F" w:rsidRDefault="0079395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One of the actions within the Information and Advice Action Plan has been to establish partnership working on a local and regional basis. I am </w:t>
      </w:r>
      <w:r w:rsidR="00C560FF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pleased to </w:t>
      </w:r>
      <w:r w:rsidR="00C560FF">
        <w:rPr>
          <w:rFonts w:ascii="Arial" w:hAnsi="Arial" w:cs="Arial"/>
          <w:sz w:val="24"/>
          <w:szCs w:val="24"/>
        </w:rPr>
        <w:t xml:space="preserve">be able to </w:t>
      </w:r>
      <w:r>
        <w:rPr>
          <w:rFonts w:ascii="Arial" w:hAnsi="Arial" w:cs="Arial"/>
          <w:sz w:val="24"/>
          <w:szCs w:val="24"/>
        </w:rPr>
        <w:t xml:space="preserve">announce that </w:t>
      </w:r>
      <w:r w:rsidR="00C560FF">
        <w:rPr>
          <w:rFonts w:ascii="Arial" w:hAnsi="Arial" w:cs="Arial"/>
          <w:sz w:val="24"/>
          <w:szCs w:val="24"/>
        </w:rPr>
        <w:t xml:space="preserve">following a period of engagement and co-production with advice providers, planners and funders, six Regional Advice Networks </w:t>
      </w:r>
      <w:proofErr w:type="gramStart"/>
      <w:r w:rsidR="00C560FF">
        <w:rPr>
          <w:rFonts w:ascii="Arial" w:hAnsi="Arial" w:cs="Arial"/>
          <w:sz w:val="24"/>
          <w:szCs w:val="24"/>
        </w:rPr>
        <w:t xml:space="preserve">have </w:t>
      </w:r>
      <w:r w:rsidR="003326CC">
        <w:rPr>
          <w:rFonts w:ascii="Arial" w:hAnsi="Arial" w:cs="Arial"/>
          <w:sz w:val="24"/>
          <w:szCs w:val="24"/>
        </w:rPr>
        <w:t xml:space="preserve">now </w:t>
      </w:r>
      <w:r w:rsidR="00C560FF">
        <w:rPr>
          <w:rFonts w:ascii="Arial" w:hAnsi="Arial" w:cs="Arial"/>
          <w:sz w:val="24"/>
          <w:szCs w:val="24"/>
        </w:rPr>
        <w:t>been established</w:t>
      </w:r>
      <w:proofErr w:type="gramEnd"/>
      <w:r w:rsidR="00C560FF">
        <w:rPr>
          <w:rFonts w:ascii="Arial" w:hAnsi="Arial" w:cs="Arial"/>
          <w:sz w:val="24"/>
          <w:szCs w:val="24"/>
        </w:rPr>
        <w:t xml:space="preserve"> across Wales.</w:t>
      </w:r>
    </w:p>
    <w:p w14:paraId="42FA1879" w14:textId="77777777" w:rsidR="00C560FF" w:rsidRDefault="00C560FF" w:rsidP="00A845A9">
      <w:pPr>
        <w:rPr>
          <w:rFonts w:ascii="Arial" w:hAnsi="Arial" w:cs="Arial"/>
          <w:sz w:val="24"/>
          <w:szCs w:val="24"/>
        </w:rPr>
      </w:pPr>
    </w:p>
    <w:p w14:paraId="0F89BB4B" w14:textId="77777777" w:rsidR="00C560FF" w:rsidRDefault="00C560F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Regional Advice Network has an independent Chair and steering group and a membership of local and regional stakeholders. Welsh Government officials are supporting the networks with staff time and funding for regional events and regular communications.</w:t>
      </w:r>
    </w:p>
    <w:p w14:paraId="31E2DDDA" w14:textId="77777777" w:rsidR="00C560FF" w:rsidRDefault="00C560F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website is in development to provide easier access to a </w:t>
      </w:r>
      <w:r w:rsidR="003326CC">
        <w:rPr>
          <w:rFonts w:ascii="Arial" w:hAnsi="Arial" w:cs="Arial"/>
          <w:sz w:val="24"/>
          <w:szCs w:val="24"/>
        </w:rPr>
        <w:t xml:space="preserve">national </w:t>
      </w:r>
      <w:r>
        <w:rPr>
          <w:rFonts w:ascii="Arial" w:hAnsi="Arial" w:cs="Arial"/>
          <w:sz w:val="24"/>
          <w:szCs w:val="24"/>
        </w:rPr>
        <w:t>directory of advice services.</w:t>
      </w:r>
    </w:p>
    <w:p w14:paraId="6765B11C" w14:textId="77777777" w:rsidR="00C560FF" w:rsidRDefault="00C560FF" w:rsidP="00A845A9">
      <w:pPr>
        <w:rPr>
          <w:rFonts w:ascii="Arial" w:hAnsi="Arial" w:cs="Arial"/>
          <w:sz w:val="24"/>
          <w:szCs w:val="24"/>
        </w:rPr>
      </w:pPr>
    </w:p>
    <w:p w14:paraId="434872DC" w14:textId="77777777" w:rsidR="00C560FF" w:rsidRDefault="00C560F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coming year, the Regional Advice Networks will be undertaking tasks to address </w:t>
      </w:r>
      <w:r w:rsidR="009C025D">
        <w:rPr>
          <w:rFonts w:ascii="Arial" w:hAnsi="Arial" w:cs="Arial"/>
          <w:sz w:val="24"/>
          <w:szCs w:val="24"/>
        </w:rPr>
        <w:t xml:space="preserve">identified </w:t>
      </w:r>
      <w:r>
        <w:rPr>
          <w:rFonts w:ascii="Arial" w:hAnsi="Arial" w:cs="Arial"/>
          <w:sz w:val="24"/>
          <w:szCs w:val="24"/>
        </w:rPr>
        <w:t>regional priorities in their areas. These include:</w:t>
      </w:r>
    </w:p>
    <w:p w14:paraId="4D6B4D25" w14:textId="77777777" w:rsidR="00C560FF" w:rsidRDefault="00AD4BFE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Mapping advice need and provision and identifying gaps.</w:t>
      </w:r>
    </w:p>
    <w:p w14:paraId="287B5B83" w14:textId="77777777" w:rsidR="00AD4BFE" w:rsidRDefault="00AD4BFE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referral networks between all advice services.</w:t>
      </w:r>
    </w:p>
    <w:p w14:paraId="1F72669E" w14:textId="77777777" w:rsidR="00AD4BFE" w:rsidRDefault="00AD4BFE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Combining their experiences to identify the root causes of common problems.</w:t>
      </w:r>
    </w:p>
    <w:p w14:paraId="02D76D74" w14:textId="77777777" w:rsidR="00AD4BFE" w:rsidRPr="00C560FF" w:rsidRDefault="00AD4BFE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best practice and supporting each other to deliver quality-assured advice.</w:t>
      </w:r>
    </w:p>
    <w:p w14:paraId="1D8EBB82" w14:textId="77777777" w:rsidR="00D053F2" w:rsidRDefault="00D053F2" w:rsidP="00A845A9">
      <w:pPr>
        <w:rPr>
          <w:rFonts w:ascii="Arial" w:hAnsi="Arial" w:cs="Arial"/>
          <w:sz w:val="24"/>
          <w:szCs w:val="24"/>
        </w:rPr>
      </w:pPr>
    </w:p>
    <w:p w14:paraId="56F78920" w14:textId="77777777" w:rsidR="0019159B" w:rsidRDefault="00AD4BFE" w:rsidP="0019159B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19159B">
        <w:rPr>
          <w:rFonts w:ascii="Arial" w:hAnsi="Arial" w:cs="Arial"/>
          <w:sz w:val="24"/>
          <w:szCs w:val="24"/>
        </w:rPr>
        <w:t>is no sign of a</w:t>
      </w:r>
      <w:r w:rsidR="009C025D">
        <w:rPr>
          <w:rFonts w:ascii="Arial" w:hAnsi="Arial" w:cs="Arial"/>
          <w:sz w:val="24"/>
          <w:szCs w:val="24"/>
        </w:rPr>
        <w:t>ny</w:t>
      </w:r>
      <w:r w:rsidR="003326CC">
        <w:rPr>
          <w:rFonts w:ascii="Arial" w:hAnsi="Arial" w:cs="Arial"/>
          <w:sz w:val="24"/>
          <w:szCs w:val="24"/>
        </w:rPr>
        <w:t xml:space="preserve"> respite in the demand for advice s</w:t>
      </w:r>
      <w:r>
        <w:rPr>
          <w:rFonts w:ascii="Arial" w:hAnsi="Arial" w:cs="Arial"/>
          <w:sz w:val="24"/>
          <w:szCs w:val="24"/>
        </w:rPr>
        <w:t xml:space="preserve">ervices </w:t>
      </w:r>
      <w:r w:rsidR="0019159B">
        <w:rPr>
          <w:rFonts w:ascii="Arial" w:hAnsi="Arial" w:cs="Arial"/>
          <w:sz w:val="24"/>
          <w:szCs w:val="24"/>
        </w:rPr>
        <w:t xml:space="preserve">in Wales. It is now more important than </w:t>
      </w:r>
      <w:r w:rsidR="003326CC">
        <w:rPr>
          <w:rFonts w:ascii="Arial" w:hAnsi="Arial" w:cs="Arial"/>
          <w:sz w:val="24"/>
          <w:szCs w:val="24"/>
        </w:rPr>
        <w:t>ever that everyone involved in advice s</w:t>
      </w:r>
      <w:r w:rsidR="009C025D">
        <w:rPr>
          <w:rFonts w:ascii="Arial" w:hAnsi="Arial" w:cs="Arial"/>
          <w:sz w:val="24"/>
          <w:szCs w:val="24"/>
        </w:rPr>
        <w:t>ervices works</w:t>
      </w:r>
      <w:r w:rsidR="0019159B">
        <w:rPr>
          <w:rFonts w:ascii="Arial" w:hAnsi="Arial" w:cs="Arial"/>
          <w:sz w:val="24"/>
          <w:szCs w:val="24"/>
        </w:rPr>
        <w:t xml:space="preserve"> together to offer the best possible help to those in crisis. The new Welsh Government-support</w:t>
      </w:r>
      <w:r w:rsidR="003326CC">
        <w:rPr>
          <w:rFonts w:ascii="Arial" w:hAnsi="Arial" w:cs="Arial"/>
          <w:sz w:val="24"/>
          <w:szCs w:val="24"/>
        </w:rPr>
        <w:t>ed</w:t>
      </w:r>
      <w:r w:rsidR="0019159B">
        <w:rPr>
          <w:rFonts w:ascii="Arial" w:hAnsi="Arial" w:cs="Arial"/>
          <w:sz w:val="24"/>
          <w:szCs w:val="24"/>
        </w:rPr>
        <w:t xml:space="preserve"> Regional Advice Networks will help to ensure that we have a</w:t>
      </w:r>
      <w:r w:rsidR="0019159B" w:rsidRPr="006F1A5C">
        <w:rPr>
          <w:rFonts w:ascii="Arial" w:hAnsi="Arial" w:cs="Arial"/>
          <w:sz w:val="24"/>
          <w:szCs w:val="24"/>
        </w:rPr>
        <w:t xml:space="preserve"> social welfare advice sector where resources </w:t>
      </w:r>
      <w:proofErr w:type="gramStart"/>
      <w:r w:rsidR="0019159B" w:rsidRPr="006F1A5C">
        <w:rPr>
          <w:rFonts w:ascii="Arial" w:hAnsi="Arial" w:cs="Arial"/>
          <w:sz w:val="24"/>
          <w:szCs w:val="24"/>
        </w:rPr>
        <w:t>are used</w:t>
      </w:r>
      <w:proofErr w:type="gramEnd"/>
      <w:r w:rsidR="0019159B" w:rsidRPr="006F1A5C">
        <w:rPr>
          <w:rFonts w:ascii="Arial" w:hAnsi="Arial" w:cs="Arial"/>
          <w:sz w:val="24"/>
          <w:szCs w:val="24"/>
        </w:rPr>
        <w:t xml:space="preserve"> as effectively as possible and quality</w:t>
      </w:r>
      <w:r w:rsidR="0019159B">
        <w:rPr>
          <w:rFonts w:ascii="Arial" w:hAnsi="Arial" w:cs="Arial"/>
          <w:sz w:val="24"/>
          <w:szCs w:val="24"/>
        </w:rPr>
        <w:t>-</w:t>
      </w:r>
      <w:r w:rsidR="0019159B" w:rsidRPr="006F1A5C">
        <w:rPr>
          <w:rFonts w:ascii="Arial" w:hAnsi="Arial" w:cs="Arial"/>
          <w:sz w:val="24"/>
          <w:szCs w:val="24"/>
        </w:rPr>
        <w:t xml:space="preserve">assured providers are delivering </w:t>
      </w:r>
      <w:r w:rsidR="0019159B" w:rsidRPr="000B35E6">
        <w:rPr>
          <w:rFonts w:ascii="Arial" w:hAnsi="Arial" w:cs="Arial"/>
          <w:sz w:val="24"/>
          <w:szCs w:val="24"/>
        </w:rPr>
        <w:t xml:space="preserve">joined-up </w:t>
      </w:r>
      <w:r w:rsidR="0019159B" w:rsidRPr="006F1A5C">
        <w:rPr>
          <w:rFonts w:ascii="Arial" w:hAnsi="Arial" w:cs="Arial"/>
          <w:sz w:val="24"/>
          <w:szCs w:val="24"/>
        </w:rPr>
        <w:t xml:space="preserve">services </w:t>
      </w:r>
      <w:r w:rsidR="0019159B">
        <w:rPr>
          <w:rFonts w:ascii="Arial" w:hAnsi="Arial" w:cs="Arial"/>
          <w:sz w:val="24"/>
          <w:szCs w:val="24"/>
        </w:rPr>
        <w:t xml:space="preserve">that </w:t>
      </w:r>
      <w:r w:rsidR="000C5A04">
        <w:rPr>
          <w:rFonts w:ascii="Arial" w:hAnsi="Arial" w:cs="Arial"/>
          <w:sz w:val="24"/>
          <w:szCs w:val="24"/>
        </w:rPr>
        <w:t>achieve</w:t>
      </w:r>
      <w:r w:rsidR="003326CC">
        <w:rPr>
          <w:rFonts w:ascii="Arial" w:hAnsi="Arial" w:cs="Arial"/>
          <w:sz w:val="24"/>
          <w:szCs w:val="24"/>
        </w:rPr>
        <w:t xml:space="preserve"> </w:t>
      </w:r>
      <w:r w:rsidR="0019159B">
        <w:rPr>
          <w:rFonts w:ascii="Arial" w:hAnsi="Arial" w:cs="Arial"/>
          <w:sz w:val="24"/>
          <w:szCs w:val="24"/>
        </w:rPr>
        <w:t xml:space="preserve">sustainable outcomes for those </w:t>
      </w:r>
      <w:r w:rsidR="0019159B" w:rsidRPr="000B35E6">
        <w:rPr>
          <w:rFonts w:ascii="Arial" w:hAnsi="Arial" w:cs="Arial"/>
          <w:sz w:val="24"/>
          <w:szCs w:val="24"/>
        </w:rPr>
        <w:t>in need of advice</w:t>
      </w:r>
      <w:r w:rsidR="0019159B" w:rsidRPr="006F1A5C">
        <w:rPr>
          <w:rFonts w:ascii="Arial" w:hAnsi="Arial" w:cs="Arial"/>
          <w:sz w:val="24"/>
          <w:szCs w:val="24"/>
        </w:rPr>
        <w:t>.</w:t>
      </w:r>
      <w:r w:rsidR="0019159B">
        <w:rPr>
          <w:rFonts w:ascii="Arial" w:hAnsi="Arial" w:cs="Arial"/>
          <w:sz w:val="24"/>
          <w:szCs w:val="24"/>
        </w:rPr>
        <w:t xml:space="preserve"> </w:t>
      </w:r>
    </w:p>
    <w:p w14:paraId="71546FDB" w14:textId="77777777" w:rsidR="00D053F2" w:rsidRDefault="0019159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541F97" w14:textId="77777777" w:rsidR="000C5A04" w:rsidRDefault="000C5A04" w:rsidP="00A845A9">
      <w:pPr>
        <w:rPr>
          <w:rFonts w:ascii="Arial" w:hAnsi="Arial" w:cs="Arial"/>
          <w:sz w:val="24"/>
          <w:szCs w:val="24"/>
        </w:rPr>
      </w:pPr>
    </w:p>
    <w:p w14:paraId="694CC795" w14:textId="77777777" w:rsidR="000C5A04" w:rsidRDefault="000C5A04" w:rsidP="00A845A9">
      <w:pPr>
        <w:rPr>
          <w:rFonts w:ascii="Arial" w:hAnsi="Arial" w:cs="Arial"/>
          <w:sz w:val="24"/>
          <w:szCs w:val="24"/>
        </w:rPr>
      </w:pPr>
    </w:p>
    <w:p w14:paraId="41919644" w14:textId="77777777" w:rsidR="000C5A04" w:rsidRDefault="000C5A04" w:rsidP="00A845A9">
      <w:pPr>
        <w:rPr>
          <w:rFonts w:ascii="Arial" w:hAnsi="Arial" w:cs="Arial"/>
          <w:sz w:val="24"/>
          <w:szCs w:val="24"/>
        </w:rPr>
      </w:pPr>
    </w:p>
    <w:p w14:paraId="093E8134" w14:textId="77777777" w:rsidR="000C5A04" w:rsidRDefault="000C5A04" w:rsidP="00A845A9">
      <w:pPr>
        <w:rPr>
          <w:rFonts w:ascii="Arial" w:hAnsi="Arial" w:cs="Arial"/>
          <w:sz w:val="24"/>
          <w:szCs w:val="24"/>
        </w:rPr>
      </w:pPr>
    </w:p>
    <w:p w14:paraId="3DEF5AD8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227CD7BA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2A6CCA72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2A9F4305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3ADAD4DC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7824BEAE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34B41358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7B56F3CD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51D401B3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4D51FE2D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5D90EF7E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1C40AB3D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77F5FD4D" w14:textId="77777777" w:rsidR="00325CFE" w:rsidRDefault="00325CFE" w:rsidP="00A845A9">
      <w:pPr>
        <w:rPr>
          <w:rFonts w:ascii="Arial" w:hAnsi="Arial" w:cs="Arial"/>
          <w:sz w:val="24"/>
          <w:szCs w:val="24"/>
        </w:rPr>
      </w:pPr>
    </w:p>
    <w:p w14:paraId="33037161" w14:textId="77777777" w:rsidR="002515E4" w:rsidRDefault="00251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215A33" w14:textId="77777777" w:rsidR="00325CFE" w:rsidRPr="002515E4" w:rsidRDefault="00325CFE" w:rsidP="00325CFE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515E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Appendix 1</w:t>
      </w:r>
    </w:p>
    <w:p w14:paraId="688E26B3" w14:textId="77777777" w:rsidR="002515E4" w:rsidRDefault="002515E4" w:rsidP="00325CF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06F8881" w14:textId="77777777" w:rsidR="000C5A04" w:rsidRDefault="000C5A04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2834"/>
        <w:gridCol w:w="3689"/>
      </w:tblGrid>
      <w:tr w:rsidR="002515E4" w14:paraId="56E00D19" w14:textId="77777777" w:rsidTr="008E31D7">
        <w:tc>
          <w:tcPr>
            <w:tcW w:w="3331" w:type="dxa"/>
            <w:shd w:val="clear" w:color="auto" w:fill="D9D9D9" w:themeFill="background1" w:themeFillShade="D9"/>
          </w:tcPr>
          <w:p w14:paraId="41D490C8" w14:textId="77777777" w:rsidR="002515E4" w:rsidRPr="002515E4" w:rsidRDefault="002515E4" w:rsidP="008C558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5E4">
              <w:rPr>
                <w:rFonts w:ascii="Arial" w:hAnsi="Arial" w:cs="Arial"/>
                <w:b/>
                <w:sz w:val="24"/>
                <w:szCs w:val="24"/>
              </w:rPr>
              <w:t>Regional Advice Network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12C33348" w14:textId="77777777" w:rsidR="002515E4" w:rsidRPr="002515E4" w:rsidRDefault="002515E4" w:rsidP="008C558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5E4">
              <w:rPr>
                <w:rFonts w:ascii="Arial" w:hAnsi="Arial" w:cs="Arial"/>
                <w:b/>
                <w:sz w:val="24"/>
                <w:szCs w:val="24"/>
              </w:rPr>
              <w:t>Local Authority Areas Covered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659316D6" w14:textId="77777777" w:rsidR="002515E4" w:rsidRPr="002515E4" w:rsidRDefault="002515E4" w:rsidP="008C558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5E4">
              <w:rPr>
                <w:rFonts w:ascii="Arial" w:hAnsi="Arial" w:cs="Arial"/>
                <w:b/>
                <w:sz w:val="24"/>
                <w:szCs w:val="24"/>
              </w:rPr>
              <w:t>Network Chair</w:t>
            </w:r>
          </w:p>
        </w:tc>
      </w:tr>
      <w:tr w:rsidR="002515E4" w14:paraId="1CCD01C9" w14:textId="77777777" w:rsidTr="008E31D7">
        <w:tc>
          <w:tcPr>
            <w:tcW w:w="3331" w:type="dxa"/>
          </w:tcPr>
          <w:p w14:paraId="6C634D7F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Wales</w:t>
            </w:r>
          </w:p>
        </w:tc>
        <w:tc>
          <w:tcPr>
            <w:tcW w:w="2873" w:type="dxa"/>
          </w:tcPr>
          <w:p w14:paraId="38A1040A" w14:textId="77777777" w:rsidR="008E31D7" w:rsidRDefault="008E31D7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Denbighshire</w:t>
            </w:r>
          </w:p>
          <w:p w14:paraId="1424B3B3" w14:textId="77777777" w:rsidR="008E31D7" w:rsidRDefault="008E31D7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Conwy</w:t>
            </w:r>
          </w:p>
          <w:p w14:paraId="5F0E991E" w14:textId="77777777" w:rsidR="008E31D7" w:rsidRDefault="008E31D7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Flintshire</w:t>
            </w:r>
          </w:p>
          <w:p w14:paraId="4E14EB7D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Gwynedd</w:t>
            </w:r>
          </w:p>
          <w:p w14:paraId="139B0137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Isle of Anglesey</w:t>
            </w:r>
          </w:p>
          <w:p w14:paraId="3C8A568D" w14:textId="77777777" w:rsidR="008E31D7" w:rsidRDefault="008E31D7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Wrexham</w:t>
            </w:r>
          </w:p>
        </w:tc>
        <w:tc>
          <w:tcPr>
            <w:tcW w:w="3791" w:type="dxa"/>
          </w:tcPr>
          <w:p w14:paraId="22272236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Gwyneth Millington</w:t>
            </w:r>
          </w:p>
          <w:p w14:paraId="525833EE" w14:textId="77777777" w:rsidR="008E31D7" w:rsidRPr="008E31D7" w:rsidRDefault="008E31D7" w:rsidP="008E31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31D7">
              <w:rPr>
                <w:rFonts w:ascii="Arial" w:hAnsi="Arial" w:cs="Arial"/>
                <w:i/>
                <w:sz w:val="24"/>
                <w:szCs w:val="24"/>
              </w:rPr>
              <w:t>CEO Citizens Advice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Conwy</w:t>
            </w:r>
          </w:p>
        </w:tc>
      </w:tr>
      <w:tr w:rsidR="002515E4" w14:paraId="48035D57" w14:textId="77777777" w:rsidTr="008E31D7">
        <w:tc>
          <w:tcPr>
            <w:tcW w:w="3331" w:type="dxa"/>
          </w:tcPr>
          <w:p w14:paraId="7FCA4B11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 and West Wales</w:t>
            </w:r>
          </w:p>
        </w:tc>
        <w:tc>
          <w:tcPr>
            <w:tcW w:w="2873" w:type="dxa"/>
          </w:tcPr>
          <w:p w14:paraId="0EAEBD38" w14:textId="77777777" w:rsidR="008E31D7" w:rsidRDefault="008E31D7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Carmarthenshire</w:t>
            </w:r>
          </w:p>
          <w:p w14:paraId="609DD280" w14:textId="77777777" w:rsidR="008E31D7" w:rsidRDefault="008E31D7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Ceredigion</w:t>
            </w:r>
          </w:p>
          <w:p w14:paraId="21A16B71" w14:textId="77777777" w:rsidR="008E31D7" w:rsidRDefault="008E31D7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Pembrokeshire</w:t>
            </w:r>
          </w:p>
          <w:p w14:paraId="48A399F4" w14:textId="77777777" w:rsidR="008E31D7" w:rsidRDefault="008E31D7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Powys</w:t>
            </w:r>
          </w:p>
        </w:tc>
        <w:tc>
          <w:tcPr>
            <w:tcW w:w="3791" w:type="dxa"/>
          </w:tcPr>
          <w:p w14:paraId="4755FF8E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Chadbourne</w:t>
            </w:r>
            <w:proofErr w:type="spellEnd"/>
          </w:p>
          <w:p w14:paraId="4939C33A" w14:textId="77777777" w:rsidR="008E31D7" w:rsidRPr="008E31D7" w:rsidRDefault="008E31D7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31D7">
              <w:rPr>
                <w:rFonts w:ascii="Arial" w:hAnsi="Arial" w:cs="Arial"/>
                <w:i/>
                <w:sz w:val="24"/>
                <w:szCs w:val="24"/>
              </w:rPr>
              <w:t>CEO Citizens Advice Powys</w:t>
            </w:r>
          </w:p>
        </w:tc>
      </w:tr>
      <w:tr w:rsidR="002515E4" w14:paraId="29D01E94" w14:textId="77777777" w:rsidTr="008E31D7">
        <w:tc>
          <w:tcPr>
            <w:tcW w:w="3331" w:type="dxa"/>
          </w:tcPr>
          <w:p w14:paraId="4420A135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Swansea Neath Port Talbot</w:t>
            </w:r>
          </w:p>
        </w:tc>
        <w:tc>
          <w:tcPr>
            <w:tcW w:w="2873" w:type="dxa"/>
          </w:tcPr>
          <w:p w14:paraId="32D5367C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Neath Port Talbot</w:t>
            </w:r>
          </w:p>
          <w:p w14:paraId="389810C8" w14:textId="77777777" w:rsidR="008E31D7" w:rsidRDefault="008E31D7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Swansea</w:t>
            </w:r>
          </w:p>
        </w:tc>
        <w:tc>
          <w:tcPr>
            <w:tcW w:w="3791" w:type="dxa"/>
          </w:tcPr>
          <w:p w14:paraId="3CC8AB6A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Richard Owen</w:t>
            </w:r>
          </w:p>
          <w:p w14:paraId="7964C46A" w14:textId="77777777" w:rsidR="008E31D7" w:rsidRPr="0049230E" w:rsidRDefault="008E31D7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sz w:val="24"/>
                <w:szCs w:val="24"/>
              </w:rPr>
              <w:t>Director Swansea Law Clinic</w:t>
            </w:r>
          </w:p>
        </w:tc>
      </w:tr>
      <w:tr w:rsidR="002515E4" w14:paraId="28B9478D" w14:textId="77777777" w:rsidTr="008E31D7">
        <w:tc>
          <w:tcPr>
            <w:tcW w:w="3331" w:type="dxa"/>
          </w:tcPr>
          <w:p w14:paraId="3031E836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Cwm Taf Morgannwg</w:t>
            </w:r>
          </w:p>
        </w:tc>
        <w:tc>
          <w:tcPr>
            <w:tcW w:w="2873" w:type="dxa"/>
          </w:tcPr>
          <w:p w14:paraId="05A62E4C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Bridgend</w:t>
            </w:r>
          </w:p>
          <w:p w14:paraId="534AC272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Merthyr Tydfil</w:t>
            </w:r>
          </w:p>
          <w:p w14:paraId="76126906" w14:textId="77777777" w:rsidR="008E31D7" w:rsidRDefault="008E31D7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Rhondda Cynon Taf</w:t>
            </w:r>
          </w:p>
        </w:tc>
        <w:tc>
          <w:tcPr>
            <w:tcW w:w="3791" w:type="dxa"/>
          </w:tcPr>
          <w:p w14:paraId="3B5414AC" w14:textId="77777777" w:rsidR="002515E4" w:rsidRDefault="0049230E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Chris Davies</w:t>
            </w:r>
          </w:p>
          <w:p w14:paraId="23A9F050" w14:textId="77777777" w:rsidR="0049230E" w:rsidRPr="0049230E" w:rsidRDefault="0049230E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sz w:val="24"/>
                <w:szCs w:val="24"/>
              </w:rPr>
              <w:t>Cabinet Member for Social Services,</w:t>
            </w:r>
          </w:p>
          <w:p w14:paraId="49750122" w14:textId="77777777" w:rsidR="0049230E" w:rsidRDefault="0049230E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sz w:val="24"/>
                <w:szCs w:val="24"/>
              </w:rPr>
              <w:t>Merthyr Tydfil County Borough Council</w:t>
            </w:r>
          </w:p>
        </w:tc>
      </w:tr>
      <w:tr w:rsidR="002515E4" w14:paraId="5C740446" w14:textId="77777777" w:rsidTr="008E31D7">
        <w:tc>
          <w:tcPr>
            <w:tcW w:w="3331" w:type="dxa"/>
          </w:tcPr>
          <w:p w14:paraId="66FAA9A9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Cardiff and Vale</w:t>
            </w:r>
          </w:p>
        </w:tc>
        <w:tc>
          <w:tcPr>
            <w:tcW w:w="2873" w:type="dxa"/>
          </w:tcPr>
          <w:p w14:paraId="394BB680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Cardiff</w:t>
            </w:r>
          </w:p>
          <w:p w14:paraId="28A51AE0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 of Glamorgan</w:t>
            </w:r>
          </w:p>
        </w:tc>
        <w:tc>
          <w:tcPr>
            <w:tcW w:w="3791" w:type="dxa"/>
          </w:tcPr>
          <w:p w14:paraId="6104DD10" w14:textId="77777777" w:rsidR="002515E4" w:rsidRDefault="0049230E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Clay</w:t>
            </w:r>
          </w:p>
          <w:p w14:paraId="12A198EA" w14:textId="77777777" w:rsidR="0049230E" w:rsidRPr="0049230E" w:rsidRDefault="0049230E" w:rsidP="0049230E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sz w:val="24"/>
                <w:szCs w:val="24"/>
              </w:rPr>
              <w:t>CEO Cardiff and Vale Citizens Advice</w:t>
            </w:r>
          </w:p>
        </w:tc>
      </w:tr>
      <w:tr w:rsidR="002515E4" w14:paraId="08D05CCA" w14:textId="77777777" w:rsidTr="008E31D7">
        <w:tc>
          <w:tcPr>
            <w:tcW w:w="3331" w:type="dxa"/>
          </w:tcPr>
          <w:p w14:paraId="69D4E544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Gwent</w:t>
            </w:r>
          </w:p>
        </w:tc>
        <w:tc>
          <w:tcPr>
            <w:tcW w:w="2873" w:type="dxa"/>
          </w:tcPr>
          <w:p w14:paraId="276C5ADD" w14:textId="77777777" w:rsidR="002515E4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Blaenau Gwent</w:t>
            </w:r>
          </w:p>
          <w:p w14:paraId="02E69F1D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Caerphilly</w:t>
            </w:r>
          </w:p>
          <w:p w14:paraId="6472D24E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Monmouthshire</w:t>
            </w:r>
          </w:p>
          <w:p w14:paraId="23FAF213" w14:textId="77777777" w:rsidR="008E31D7" w:rsidRDefault="008E31D7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Newport</w:t>
            </w:r>
          </w:p>
          <w:p w14:paraId="6D25976B" w14:textId="77777777" w:rsidR="008E31D7" w:rsidRDefault="008E31D7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Torfaen</w:t>
            </w:r>
          </w:p>
        </w:tc>
        <w:tc>
          <w:tcPr>
            <w:tcW w:w="3791" w:type="dxa"/>
          </w:tcPr>
          <w:p w14:paraId="562EDFE0" w14:textId="77777777" w:rsidR="002515E4" w:rsidRDefault="0049230E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Lane</w:t>
            </w:r>
          </w:p>
          <w:p w14:paraId="5F4F85E4" w14:textId="77777777" w:rsidR="0049230E" w:rsidRPr="0049230E" w:rsidRDefault="0049230E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sz w:val="24"/>
                <w:szCs w:val="24"/>
              </w:rPr>
              <w:t>CEO Newport Citizens Advice</w:t>
            </w:r>
          </w:p>
        </w:tc>
      </w:tr>
    </w:tbl>
    <w:p w14:paraId="3C846682" w14:textId="77777777" w:rsidR="000C5A04" w:rsidRDefault="000C5A04" w:rsidP="00A845A9">
      <w:pPr>
        <w:rPr>
          <w:rFonts w:ascii="Arial" w:hAnsi="Arial" w:cs="Arial"/>
          <w:sz w:val="24"/>
          <w:szCs w:val="24"/>
        </w:rPr>
      </w:pPr>
    </w:p>
    <w:p w14:paraId="3E5D5AC0" w14:textId="77777777" w:rsidR="008C558F" w:rsidRDefault="008C558F" w:rsidP="00A845A9">
      <w:pPr>
        <w:rPr>
          <w:rFonts w:ascii="Arial" w:hAnsi="Arial" w:cs="Arial"/>
          <w:sz w:val="24"/>
          <w:szCs w:val="24"/>
        </w:rPr>
      </w:pPr>
    </w:p>
    <w:p w14:paraId="1E6F4335" w14:textId="77777777" w:rsidR="008C558F" w:rsidRDefault="008C558F" w:rsidP="008C558F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C558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Appendix 2</w:t>
      </w:r>
    </w:p>
    <w:p w14:paraId="2D71F85C" w14:textId="77777777" w:rsidR="008C558F" w:rsidRDefault="008C558F" w:rsidP="008C558F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851AC6E" w14:textId="77777777" w:rsidR="008C558F" w:rsidRDefault="008C558F" w:rsidP="008C558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91"/>
      </w:tblGrid>
      <w:tr w:rsidR="008C558F" w14:paraId="70C82520" w14:textId="77777777" w:rsidTr="00737FCA">
        <w:tc>
          <w:tcPr>
            <w:tcW w:w="9995" w:type="dxa"/>
            <w:gridSpan w:val="2"/>
            <w:shd w:val="clear" w:color="auto" w:fill="D9D9D9" w:themeFill="background1" w:themeFillShade="D9"/>
          </w:tcPr>
          <w:p w14:paraId="4050A49E" w14:textId="77777777" w:rsidR="008C558F" w:rsidRPr="008C558F" w:rsidRDefault="008C558F" w:rsidP="008C558F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Scope of </w:t>
            </w:r>
            <w:r w:rsidR="003326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Advice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Services Covered</w:t>
            </w:r>
          </w:p>
        </w:tc>
      </w:tr>
      <w:tr w:rsidR="008C558F" w14:paraId="6203864C" w14:textId="77777777" w:rsidTr="008C558F">
        <w:tc>
          <w:tcPr>
            <w:tcW w:w="4997" w:type="dxa"/>
            <w:shd w:val="clear" w:color="auto" w:fill="D9D9D9" w:themeFill="background1" w:themeFillShade="D9"/>
          </w:tcPr>
          <w:p w14:paraId="494533C3" w14:textId="77777777" w:rsidR="008C558F" w:rsidRPr="008C558F" w:rsidRDefault="008C558F" w:rsidP="008C558F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Levels of Advice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7EDF927B" w14:textId="77777777" w:rsidR="008C558F" w:rsidRPr="008C558F" w:rsidRDefault="008C558F" w:rsidP="008C558F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Advice Subjects</w:t>
            </w:r>
          </w:p>
        </w:tc>
      </w:tr>
      <w:tr w:rsidR="008C558F" w14:paraId="7DC747EF" w14:textId="77777777" w:rsidTr="008C558F">
        <w:tc>
          <w:tcPr>
            <w:tcW w:w="4997" w:type="dxa"/>
          </w:tcPr>
          <w:p w14:paraId="3C43F723" w14:textId="77777777" w:rsidR="008C558F" w:rsidRDefault="008C558F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66CD847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Information</w:t>
            </w:r>
          </w:p>
          <w:p w14:paraId="68B1D81C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Guidance</w:t>
            </w:r>
          </w:p>
          <w:p w14:paraId="09BC8C7B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Advice</w:t>
            </w:r>
          </w:p>
          <w:p w14:paraId="21660A26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Advice with Casework</w:t>
            </w:r>
          </w:p>
          <w:p w14:paraId="62A027DF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Specialist Casework</w:t>
            </w:r>
          </w:p>
          <w:p w14:paraId="35268E93" w14:textId="77777777" w:rsidR="008C558F" w:rsidRDefault="008C558F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3385AD8" w14:textId="77777777" w:rsidR="008C558F" w:rsidRDefault="008C558F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98" w:type="dxa"/>
          </w:tcPr>
          <w:p w14:paraId="4401E836" w14:textId="77777777" w:rsidR="008C558F" w:rsidRDefault="008C558F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8362DFF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Welfare Benefits</w:t>
            </w:r>
          </w:p>
          <w:p w14:paraId="718F42F6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Money and Debt</w:t>
            </w:r>
          </w:p>
          <w:p w14:paraId="2008C178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Housing</w:t>
            </w:r>
          </w:p>
          <w:p w14:paraId="0AF2D3DE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Employment</w:t>
            </w:r>
          </w:p>
          <w:p w14:paraId="20B692C3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Discrimination</w:t>
            </w:r>
          </w:p>
          <w:p w14:paraId="172915A3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Education</w:t>
            </w:r>
          </w:p>
          <w:p w14:paraId="1E2FDD0B" w14:textId="77777777" w:rsidR="008C558F" w:rsidRPr="008C558F" w:rsidRDefault="008C558F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</w:rPr>
              <w:t>Immigration</w:t>
            </w:r>
          </w:p>
          <w:p w14:paraId="2D3FA5C5" w14:textId="77777777" w:rsidR="008C558F" w:rsidRPr="008C558F" w:rsidRDefault="008C558F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611FA611" w14:textId="77777777" w:rsidR="008C558F" w:rsidRPr="008C558F" w:rsidRDefault="008C558F" w:rsidP="008C558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8C558F" w:rsidRPr="008C558F" w:rsidSect="002515E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36A9B" w14:textId="77777777" w:rsidR="002F2001" w:rsidRDefault="002F2001">
      <w:r>
        <w:separator/>
      </w:r>
    </w:p>
  </w:endnote>
  <w:endnote w:type="continuationSeparator" w:id="0">
    <w:p w14:paraId="033A567D" w14:textId="77777777" w:rsidR="002F2001" w:rsidRDefault="002F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C25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74C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B961" w14:textId="14F3C32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C8D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DE8DE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0D32" w14:textId="31A67F5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32C8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3CCF5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5E57" w14:textId="77777777" w:rsidR="002F2001" w:rsidRDefault="002F2001">
      <w:r>
        <w:separator/>
      </w:r>
    </w:p>
  </w:footnote>
  <w:footnote w:type="continuationSeparator" w:id="0">
    <w:p w14:paraId="6BE7DF4C" w14:textId="77777777" w:rsidR="002F2001" w:rsidRDefault="002F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77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E35E34" wp14:editId="54A1D7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7386A" w14:textId="77777777" w:rsidR="00DD4B82" w:rsidRDefault="00DD4B82">
    <w:pPr>
      <w:pStyle w:val="Header"/>
    </w:pPr>
  </w:p>
  <w:p w14:paraId="614C18D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10158"/>
    <w:multiLevelType w:val="hybridMultilevel"/>
    <w:tmpl w:val="6CA0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71EC"/>
    <w:multiLevelType w:val="hybridMultilevel"/>
    <w:tmpl w:val="2714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0283"/>
    <w:multiLevelType w:val="hybridMultilevel"/>
    <w:tmpl w:val="FF842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838E4"/>
    <w:rsid w:val="00090C3D"/>
    <w:rsid w:val="00097118"/>
    <w:rsid w:val="000C3A52"/>
    <w:rsid w:val="000C53DB"/>
    <w:rsid w:val="000C5A04"/>
    <w:rsid w:val="000C5E9B"/>
    <w:rsid w:val="00134918"/>
    <w:rsid w:val="001460B1"/>
    <w:rsid w:val="0015705A"/>
    <w:rsid w:val="0017102C"/>
    <w:rsid w:val="0019159B"/>
    <w:rsid w:val="00194F4E"/>
    <w:rsid w:val="001A39E2"/>
    <w:rsid w:val="001A6AF1"/>
    <w:rsid w:val="001B027C"/>
    <w:rsid w:val="001B288D"/>
    <w:rsid w:val="001C532F"/>
    <w:rsid w:val="001E53BF"/>
    <w:rsid w:val="00214B25"/>
    <w:rsid w:val="00223E62"/>
    <w:rsid w:val="002515E4"/>
    <w:rsid w:val="00274F08"/>
    <w:rsid w:val="002A5310"/>
    <w:rsid w:val="002B6DB9"/>
    <w:rsid w:val="002C57B6"/>
    <w:rsid w:val="002D44DE"/>
    <w:rsid w:val="002F0EB9"/>
    <w:rsid w:val="002F2001"/>
    <w:rsid w:val="002F53A9"/>
    <w:rsid w:val="00314E36"/>
    <w:rsid w:val="003220C1"/>
    <w:rsid w:val="00325CFE"/>
    <w:rsid w:val="003326CC"/>
    <w:rsid w:val="00343F8C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913B9"/>
    <w:rsid w:val="0049230E"/>
    <w:rsid w:val="004B373D"/>
    <w:rsid w:val="00532C8D"/>
    <w:rsid w:val="00560F1F"/>
    <w:rsid w:val="00574BB3"/>
    <w:rsid w:val="005A22E2"/>
    <w:rsid w:val="005B030B"/>
    <w:rsid w:val="005D2A41"/>
    <w:rsid w:val="005D7663"/>
    <w:rsid w:val="005F1659"/>
    <w:rsid w:val="005F7EC0"/>
    <w:rsid w:val="00603548"/>
    <w:rsid w:val="00654C0A"/>
    <w:rsid w:val="006633C7"/>
    <w:rsid w:val="00663F04"/>
    <w:rsid w:val="00670227"/>
    <w:rsid w:val="006814BD"/>
    <w:rsid w:val="0069133F"/>
    <w:rsid w:val="006930C4"/>
    <w:rsid w:val="006B340E"/>
    <w:rsid w:val="006B461D"/>
    <w:rsid w:val="006E0A2C"/>
    <w:rsid w:val="00703993"/>
    <w:rsid w:val="0073380E"/>
    <w:rsid w:val="00743B79"/>
    <w:rsid w:val="007523BC"/>
    <w:rsid w:val="00752C48"/>
    <w:rsid w:val="0079395F"/>
    <w:rsid w:val="007A05FB"/>
    <w:rsid w:val="007B5260"/>
    <w:rsid w:val="007C24E7"/>
    <w:rsid w:val="007D1402"/>
    <w:rsid w:val="007F09BB"/>
    <w:rsid w:val="007F5DEB"/>
    <w:rsid w:val="007F5E64"/>
    <w:rsid w:val="00800FA0"/>
    <w:rsid w:val="00812370"/>
    <w:rsid w:val="0082411A"/>
    <w:rsid w:val="00841628"/>
    <w:rsid w:val="00846160"/>
    <w:rsid w:val="00877BD2"/>
    <w:rsid w:val="008B7927"/>
    <w:rsid w:val="008C558F"/>
    <w:rsid w:val="008D1E0B"/>
    <w:rsid w:val="008E31D7"/>
    <w:rsid w:val="008F0CC6"/>
    <w:rsid w:val="008F789E"/>
    <w:rsid w:val="00905771"/>
    <w:rsid w:val="00905F83"/>
    <w:rsid w:val="00916F1F"/>
    <w:rsid w:val="00953A46"/>
    <w:rsid w:val="00967473"/>
    <w:rsid w:val="00973090"/>
    <w:rsid w:val="00995EEC"/>
    <w:rsid w:val="009C025D"/>
    <w:rsid w:val="009D26D8"/>
    <w:rsid w:val="009E4974"/>
    <w:rsid w:val="009F06C3"/>
    <w:rsid w:val="00A15327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BFE"/>
    <w:rsid w:val="00AD65F1"/>
    <w:rsid w:val="00AE064D"/>
    <w:rsid w:val="00AF056B"/>
    <w:rsid w:val="00B049B1"/>
    <w:rsid w:val="00B239BA"/>
    <w:rsid w:val="00B25A6A"/>
    <w:rsid w:val="00B468BB"/>
    <w:rsid w:val="00B81F17"/>
    <w:rsid w:val="00BA4D09"/>
    <w:rsid w:val="00BB530D"/>
    <w:rsid w:val="00C43B4A"/>
    <w:rsid w:val="00C560FF"/>
    <w:rsid w:val="00C64FA5"/>
    <w:rsid w:val="00C8240A"/>
    <w:rsid w:val="00C84A12"/>
    <w:rsid w:val="00CF3DC5"/>
    <w:rsid w:val="00CF7EAD"/>
    <w:rsid w:val="00D017E2"/>
    <w:rsid w:val="00D0203C"/>
    <w:rsid w:val="00D053F2"/>
    <w:rsid w:val="00D16D97"/>
    <w:rsid w:val="00D20393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7008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5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8C558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43F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F8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F8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F8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4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3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A28510268</value>
    </field>
    <field name="Objective-Title">
      <value order="0">Written Statement on Regional Advice Networks ENG</value>
    </field>
    <field name="Objective-Description">
      <value order="0"/>
    </field>
    <field name="Objective-CreationStamp">
      <value order="0">2019-12-20T13:22:35Z</value>
    </field>
    <field name="Objective-IsApproved">
      <value order="0">false</value>
    </field>
    <field name="Objective-IsPublished">
      <value order="0">true</value>
    </field>
    <field name="Objective-DatePublished">
      <value order="0">2020-01-08T14:28:42Z</value>
    </field>
    <field name="Objective-ModificationStamp">
      <value order="0">2020-01-08T14:28:42Z</value>
    </field>
    <field name="Objective-Owner">
      <value order="0">Costello, JJ (EPS - Prosperous Futures)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Financial Inclusion Unit:Financial Inclusion Unit - Government Business:Financial Inclusion Unit - Government Business - 2019 - Deputy Minister &amp; Chief Whip:Jane Hutt - Deputy Minister &amp; Chief Whip - Ministerial Advice - Financial Inclusion Unit - 2019:MA-P/JH /1903/19 Allocations of Funding for Advice Networks</value>
    </field>
    <field name="Objective-Parent">
      <value order="0">MA-P/JH /1903/19 Allocations of Funding for Advice Networks</value>
    </field>
    <field name="Objective-State">
      <value order="0">Published</value>
    </field>
    <field name="Objective-VersionId">
      <value order="0">vA57012844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qA1375165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2020-01-15T00:00:00+00:00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E81D0CA-211D-4356-824C-450B2B71BC8D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C29926-3E44-4EE4-A71E-24E79E474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42B99-D885-47A3-AFAB-B2EB0DE62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Advice Networks</dc:title>
  <dc:creator>burnsc</dc:creator>
  <cp:lastModifiedBy>Oxenham, James (OFM - Cabinet Division)</cp:lastModifiedBy>
  <cp:revision>2</cp:revision>
  <cp:lastPrinted>2011-05-27T10:19:00Z</cp:lastPrinted>
  <dcterms:created xsi:type="dcterms:W3CDTF">2020-01-14T17:30:00Z</dcterms:created>
  <dcterms:modified xsi:type="dcterms:W3CDTF">2020-01-14T17:30:00Z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A28510268</vt:lpwstr>
  </property>
  <property fmtid="{D5CDD505-2E9C-101B-9397-08002B2CF9AE}" pid="4" name="Objective-Title">
    <vt:lpwstr>Written Statement on Regional Advice Networks ENG</vt:lpwstr>
  </property>
  <property fmtid="{D5CDD505-2E9C-101B-9397-08002B2CF9AE}" pid="5" name="Objective-Comment">
    <vt:lpwstr/>
  </property>
  <property fmtid="{D5CDD505-2E9C-101B-9397-08002B2CF9AE}" pid="6" name="Objective-CreationStamp">
    <vt:filetime>2019-12-20T13:22:48Z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2020-01-08T14:28:42Z</vt:filetime>
  </property>
  <property fmtid="{D5CDD505-2E9C-101B-9397-08002B2CF9AE}" pid="10" name="Objective-ModificationStamp">
    <vt:filetime>2020-01-08T14:28:42Z</vt:filetime>
  </property>
  <property fmtid="{D5CDD505-2E9C-101B-9397-08002B2CF9AE}" pid="11" name="Objective-Owner">
    <vt:lpwstr>Costello, JJ (EPS - Prosperous Futures)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Financial Inclusion Unit:Financial Inclusion Unit - Government Bus</vt:lpwstr>
  </property>
  <property fmtid="{D5CDD505-2E9C-101B-9397-08002B2CF9AE}" pid="13" name="Objective-Parent">
    <vt:lpwstr>MA-P/JH /1903/19 Allocations of Funding for Advice Networks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vA57012844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