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7D97B" w14:textId="77777777" w:rsidR="001A39E2" w:rsidRDefault="001A39E2" w:rsidP="008C2E4E">
      <w:pPr>
        <w:rPr>
          <w:b/>
        </w:rPr>
      </w:pPr>
    </w:p>
    <w:p w14:paraId="166EF60A" w14:textId="77777777" w:rsidR="007D4A14" w:rsidRDefault="007D4A14" w:rsidP="001A39E2">
      <w:pPr>
        <w:jc w:val="right"/>
        <w:rPr>
          <w:b/>
        </w:rPr>
      </w:pPr>
    </w:p>
    <w:p w14:paraId="39E19382" w14:textId="77777777" w:rsidR="007D4A14" w:rsidRDefault="007D4A14" w:rsidP="001A39E2">
      <w:pPr>
        <w:jc w:val="right"/>
        <w:rPr>
          <w:b/>
        </w:rPr>
      </w:pPr>
    </w:p>
    <w:p w14:paraId="1DE4ACB5" w14:textId="77777777" w:rsidR="007D4A14" w:rsidRDefault="007D4A14" w:rsidP="001A39E2">
      <w:pPr>
        <w:jc w:val="right"/>
        <w:rPr>
          <w:b/>
        </w:rPr>
      </w:pPr>
    </w:p>
    <w:p w14:paraId="68C2645B" w14:textId="77777777" w:rsidR="007D4A14" w:rsidRDefault="007D4A14" w:rsidP="001A39E2">
      <w:pPr>
        <w:jc w:val="right"/>
        <w:rPr>
          <w:b/>
        </w:rPr>
      </w:pPr>
    </w:p>
    <w:p w14:paraId="0490F7A4" w14:textId="77777777" w:rsidR="007D4A14" w:rsidRDefault="007D4A14" w:rsidP="001A39E2">
      <w:pPr>
        <w:jc w:val="right"/>
        <w:rPr>
          <w:b/>
        </w:rPr>
      </w:pPr>
    </w:p>
    <w:p w14:paraId="4878F65D" w14:textId="77777777" w:rsidR="007D4A14" w:rsidRDefault="007D4A14" w:rsidP="001A39E2">
      <w:pPr>
        <w:jc w:val="right"/>
        <w:rPr>
          <w:b/>
        </w:rPr>
      </w:pPr>
    </w:p>
    <w:p w14:paraId="639038E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18919BB" wp14:editId="23ACD44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53FC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EE4F8E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12E563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9AF609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8185E9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85799BB" wp14:editId="13B165C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A784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A3E2F9F" w14:textId="77777777" w:rsidTr="00B049B1">
        <w:tc>
          <w:tcPr>
            <w:tcW w:w="1383" w:type="dxa"/>
            <w:tcBorders>
              <w:top w:val="nil"/>
              <w:left w:val="nil"/>
              <w:bottom w:val="nil"/>
              <w:right w:val="nil"/>
            </w:tcBorders>
            <w:vAlign w:val="center"/>
          </w:tcPr>
          <w:p w14:paraId="49F08384" w14:textId="77777777" w:rsidR="00EA5290" w:rsidRDefault="00EA5290" w:rsidP="00B049B1">
            <w:pPr>
              <w:spacing w:before="120" w:after="120"/>
              <w:rPr>
                <w:rFonts w:ascii="Arial" w:hAnsi="Arial" w:cs="Arial"/>
                <w:b/>
                <w:bCs/>
                <w:sz w:val="24"/>
                <w:szCs w:val="24"/>
              </w:rPr>
            </w:pPr>
          </w:p>
          <w:p w14:paraId="2AF24A8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C22D6C5" w14:textId="77777777" w:rsidR="00EA5290" w:rsidRPr="00670227" w:rsidRDefault="00EA5290" w:rsidP="00B049B1">
            <w:pPr>
              <w:spacing w:before="120" w:after="120"/>
              <w:rPr>
                <w:rFonts w:ascii="Arial" w:hAnsi="Arial" w:cs="Arial"/>
                <w:b/>
                <w:bCs/>
                <w:sz w:val="24"/>
                <w:szCs w:val="24"/>
              </w:rPr>
            </w:pPr>
          </w:p>
          <w:p w14:paraId="4F960B59" w14:textId="77777777" w:rsidR="00EA5290" w:rsidRPr="00670227" w:rsidRDefault="005807FA" w:rsidP="005807FA">
            <w:pPr>
              <w:spacing w:before="120" w:after="120"/>
              <w:rPr>
                <w:rFonts w:ascii="Arial" w:hAnsi="Arial" w:cs="Arial"/>
                <w:b/>
                <w:bCs/>
                <w:sz w:val="24"/>
                <w:szCs w:val="24"/>
              </w:rPr>
            </w:pPr>
            <w:r>
              <w:rPr>
                <w:rFonts w:ascii="Arial" w:hAnsi="Arial" w:cs="Arial"/>
                <w:b/>
                <w:bCs/>
                <w:sz w:val="24"/>
                <w:szCs w:val="24"/>
              </w:rPr>
              <w:t>Provisional Local Government Settlement 2020-21</w:t>
            </w:r>
          </w:p>
        </w:tc>
      </w:tr>
      <w:tr w:rsidR="00EA5290" w:rsidRPr="00A011A1" w14:paraId="634C68AD" w14:textId="77777777" w:rsidTr="00B049B1">
        <w:tc>
          <w:tcPr>
            <w:tcW w:w="1383" w:type="dxa"/>
            <w:tcBorders>
              <w:top w:val="nil"/>
              <w:left w:val="nil"/>
              <w:bottom w:val="nil"/>
              <w:right w:val="nil"/>
            </w:tcBorders>
            <w:vAlign w:val="center"/>
          </w:tcPr>
          <w:p w14:paraId="4EB5BBE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CF58DC4" w14:textId="77777777" w:rsidR="00EA5290" w:rsidRPr="00670227" w:rsidRDefault="005807FA" w:rsidP="00B049B1">
            <w:pPr>
              <w:spacing w:before="120" w:after="120"/>
              <w:rPr>
                <w:rFonts w:ascii="Arial" w:hAnsi="Arial" w:cs="Arial"/>
                <w:b/>
                <w:bCs/>
                <w:sz w:val="24"/>
                <w:szCs w:val="24"/>
              </w:rPr>
            </w:pPr>
            <w:r>
              <w:rPr>
                <w:rFonts w:ascii="Arial" w:hAnsi="Arial" w:cs="Arial"/>
                <w:b/>
                <w:bCs/>
                <w:sz w:val="24"/>
                <w:szCs w:val="24"/>
              </w:rPr>
              <w:t>16 December 2019</w:t>
            </w:r>
          </w:p>
        </w:tc>
      </w:tr>
      <w:tr w:rsidR="00EA5290" w:rsidRPr="00A011A1" w14:paraId="05F6AD8F" w14:textId="77777777" w:rsidTr="00B049B1">
        <w:tc>
          <w:tcPr>
            <w:tcW w:w="1383" w:type="dxa"/>
            <w:tcBorders>
              <w:top w:val="nil"/>
              <w:left w:val="nil"/>
              <w:bottom w:val="nil"/>
              <w:right w:val="nil"/>
            </w:tcBorders>
            <w:vAlign w:val="center"/>
          </w:tcPr>
          <w:p w14:paraId="055891D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691E478" w14:textId="42C2A667" w:rsidR="005807FA" w:rsidRPr="00670227" w:rsidRDefault="005807FA" w:rsidP="00187BE4">
            <w:pPr>
              <w:spacing w:before="120" w:after="120"/>
              <w:rPr>
                <w:rFonts w:ascii="Arial" w:hAnsi="Arial" w:cs="Arial"/>
                <w:b/>
                <w:bCs/>
                <w:sz w:val="24"/>
                <w:szCs w:val="24"/>
              </w:rPr>
            </w:pPr>
            <w:r>
              <w:rPr>
                <w:rFonts w:ascii="Arial" w:hAnsi="Arial" w:cs="Arial"/>
                <w:b/>
                <w:bCs/>
                <w:sz w:val="24"/>
                <w:szCs w:val="24"/>
              </w:rPr>
              <w:t>Julie James AM</w:t>
            </w:r>
            <w:r w:rsidR="00187BE4">
              <w:rPr>
                <w:rFonts w:ascii="Arial" w:hAnsi="Arial" w:cs="Arial"/>
                <w:b/>
                <w:bCs/>
                <w:sz w:val="24"/>
                <w:szCs w:val="24"/>
              </w:rPr>
              <w:t xml:space="preserve">, </w:t>
            </w:r>
            <w:bookmarkStart w:id="0" w:name="_GoBack"/>
            <w:bookmarkEnd w:id="0"/>
            <w:r>
              <w:rPr>
                <w:rFonts w:ascii="Arial" w:hAnsi="Arial" w:cs="Arial"/>
                <w:b/>
                <w:bCs/>
                <w:sz w:val="24"/>
                <w:szCs w:val="24"/>
              </w:rPr>
              <w:t>Minister for Housing and Local Government</w:t>
            </w:r>
          </w:p>
        </w:tc>
      </w:tr>
    </w:tbl>
    <w:p w14:paraId="636CF1E2" w14:textId="77777777" w:rsidR="00EA5290" w:rsidRPr="00A011A1" w:rsidRDefault="00EA5290" w:rsidP="00EA5290"/>
    <w:p w14:paraId="65884803" w14:textId="77777777" w:rsidR="00EA5290" w:rsidRDefault="00EA5290" w:rsidP="00EA5290">
      <w:pPr>
        <w:pStyle w:val="BodyText"/>
        <w:jc w:val="left"/>
        <w:rPr>
          <w:lang w:val="en-US"/>
        </w:rPr>
      </w:pPr>
    </w:p>
    <w:p w14:paraId="383F7DEC" w14:textId="77777777" w:rsidR="00893336" w:rsidRDefault="00893336" w:rsidP="005807FA">
      <w:pPr>
        <w:keepLines/>
        <w:rPr>
          <w:rFonts w:ascii="Arial" w:hAnsi="Arial" w:cs="Arial"/>
          <w:sz w:val="24"/>
          <w:szCs w:val="24"/>
        </w:rPr>
      </w:pPr>
      <w:r>
        <w:rPr>
          <w:rFonts w:ascii="Arial" w:hAnsi="Arial" w:cs="Arial"/>
          <w:sz w:val="24"/>
          <w:szCs w:val="24"/>
        </w:rPr>
        <w:t xml:space="preserve">Today I am publishing </w:t>
      </w:r>
      <w:r w:rsidRPr="005807FA">
        <w:rPr>
          <w:rFonts w:ascii="Arial" w:hAnsi="Arial" w:cs="Arial"/>
          <w:sz w:val="24"/>
          <w:szCs w:val="24"/>
        </w:rPr>
        <w:t>details of the core funding allocatio</w:t>
      </w:r>
      <w:r>
        <w:rPr>
          <w:rFonts w:ascii="Arial" w:hAnsi="Arial" w:cs="Arial"/>
          <w:sz w:val="24"/>
          <w:szCs w:val="24"/>
        </w:rPr>
        <w:t xml:space="preserve">ns for local authorities for the forthcoming financial year through the 2020-21 </w:t>
      </w:r>
      <w:r w:rsidRPr="00584873">
        <w:rPr>
          <w:rFonts w:ascii="Arial" w:hAnsi="Arial" w:cs="Arial"/>
          <w:sz w:val="24"/>
          <w:szCs w:val="24"/>
        </w:rPr>
        <w:t xml:space="preserve">Provisional Local Government </w:t>
      </w:r>
      <w:r>
        <w:rPr>
          <w:rFonts w:ascii="Arial" w:hAnsi="Arial" w:cs="Arial"/>
          <w:sz w:val="24"/>
          <w:szCs w:val="24"/>
        </w:rPr>
        <w:t>Revenue and Capital Settlements.</w:t>
      </w:r>
    </w:p>
    <w:p w14:paraId="76CE909C" w14:textId="77777777" w:rsidR="00893336" w:rsidRDefault="00893336" w:rsidP="005807FA">
      <w:pPr>
        <w:keepLines/>
        <w:rPr>
          <w:rFonts w:ascii="Arial" w:hAnsi="Arial" w:cs="Arial"/>
          <w:sz w:val="24"/>
          <w:szCs w:val="24"/>
        </w:rPr>
      </w:pPr>
    </w:p>
    <w:p w14:paraId="6D8EB49E" w14:textId="12701E3D" w:rsidR="000665B5" w:rsidRDefault="005807FA" w:rsidP="005807FA">
      <w:pPr>
        <w:keepLines/>
        <w:rPr>
          <w:rFonts w:ascii="Arial" w:hAnsi="Arial" w:cs="Arial"/>
          <w:sz w:val="24"/>
          <w:szCs w:val="24"/>
        </w:rPr>
      </w:pPr>
      <w:r w:rsidRPr="005807FA">
        <w:rPr>
          <w:rFonts w:ascii="Arial" w:hAnsi="Arial" w:cs="Arial"/>
          <w:sz w:val="24"/>
          <w:szCs w:val="24"/>
        </w:rPr>
        <w:t xml:space="preserve">Adjusting for transfers, the core revenue funding for local government in </w:t>
      </w:r>
      <w:r w:rsidR="00893336">
        <w:rPr>
          <w:rFonts w:ascii="Arial" w:hAnsi="Arial" w:cs="Arial"/>
          <w:sz w:val="24"/>
          <w:szCs w:val="24"/>
        </w:rPr>
        <w:t>2020-21</w:t>
      </w:r>
      <w:r w:rsidRPr="005807FA">
        <w:rPr>
          <w:rFonts w:ascii="Arial" w:hAnsi="Arial" w:cs="Arial"/>
          <w:sz w:val="24"/>
          <w:szCs w:val="24"/>
        </w:rPr>
        <w:t xml:space="preserve"> will </w:t>
      </w:r>
      <w:r w:rsidR="00893336">
        <w:rPr>
          <w:rFonts w:ascii="Arial" w:hAnsi="Arial" w:cs="Arial"/>
          <w:sz w:val="24"/>
          <w:szCs w:val="24"/>
        </w:rPr>
        <w:t>increase</w:t>
      </w:r>
      <w:r w:rsidRPr="005807FA">
        <w:rPr>
          <w:rFonts w:ascii="Arial" w:hAnsi="Arial" w:cs="Arial"/>
          <w:sz w:val="24"/>
          <w:szCs w:val="24"/>
        </w:rPr>
        <w:t xml:space="preserve"> by </w:t>
      </w:r>
      <w:r w:rsidR="00893336">
        <w:rPr>
          <w:rFonts w:ascii="Arial" w:hAnsi="Arial" w:cs="Arial"/>
          <w:sz w:val="24"/>
          <w:szCs w:val="24"/>
        </w:rPr>
        <w:t>4.3</w:t>
      </w:r>
      <w:r w:rsidRPr="005807FA">
        <w:rPr>
          <w:rFonts w:ascii="Arial" w:hAnsi="Arial" w:cs="Arial"/>
          <w:sz w:val="24"/>
          <w:szCs w:val="24"/>
        </w:rPr>
        <w:t>% on a like-for-like basis compared to the current year.</w:t>
      </w:r>
      <w:r w:rsidR="000665B5">
        <w:rPr>
          <w:rFonts w:ascii="Arial" w:hAnsi="Arial" w:cs="Arial"/>
          <w:sz w:val="24"/>
          <w:szCs w:val="24"/>
        </w:rPr>
        <w:t xml:space="preserve"> </w:t>
      </w:r>
      <w:r w:rsidRPr="005807FA">
        <w:rPr>
          <w:rFonts w:ascii="Arial" w:hAnsi="Arial" w:cs="Arial"/>
          <w:sz w:val="24"/>
          <w:szCs w:val="24"/>
        </w:rPr>
        <w:t xml:space="preserve">In </w:t>
      </w:r>
      <w:r w:rsidR="00893336">
        <w:rPr>
          <w:rFonts w:ascii="Arial" w:hAnsi="Arial" w:cs="Arial"/>
          <w:sz w:val="24"/>
          <w:szCs w:val="24"/>
        </w:rPr>
        <w:t>2020-21</w:t>
      </w:r>
      <w:r w:rsidRPr="005807FA">
        <w:rPr>
          <w:rFonts w:ascii="Arial" w:hAnsi="Arial" w:cs="Arial"/>
          <w:sz w:val="24"/>
          <w:szCs w:val="24"/>
        </w:rPr>
        <w:t xml:space="preserve">, local authorities will receive </w:t>
      </w:r>
      <w:r w:rsidR="00893336">
        <w:rPr>
          <w:rFonts w:ascii="Arial" w:hAnsi="Arial" w:cs="Arial"/>
          <w:sz w:val="24"/>
          <w:szCs w:val="24"/>
        </w:rPr>
        <w:t>nearly £4.5</w:t>
      </w:r>
      <w:r w:rsidRPr="005807FA">
        <w:rPr>
          <w:rFonts w:ascii="Arial" w:hAnsi="Arial" w:cs="Arial"/>
          <w:sz w:val="24"/>
          <w:szCs w:val="24"/>
        </w:rPr>
        <w:t xml:space="preserve"> billion from the Welsh Government in core revenue funding and non-domestic rates to spend on delivering key services</w:t>
      </w:r>
      <w:r w:rsidR="000665B5">
        <w:rPr>
          <w:rFonts w:ascii="Arial" w:hAnsi="Arial" w:cs="Arial"/>
          <w:sz w:val="24"/>
          <w:szCs w:val="24"/>
        </w:rPr>
        <w:t>.</w:t>
      </w:r>
      <w:r w:rsidR="000E6D6F">
        <w:rPr>
          <w:rFonts w:ascii="Arial" w:hAnsi="Arial" w:cs="Arial"/>
          <w:sz w:val="24"/>
          <w:szCs w:val="24"/>
        </w:rPr>
        <w:t xml:space="preserve"> </w:t>
      </w:r>
    </w:p>
    <w:p w14:paraId="161E1CDE" w14:textId="77777777" w:rsidR="00B80B53" w:rsidRDefault="00B80B53" w:rsidP="00B80B53">
      <w:pPr>
        <w:keepLines/>
        <w:autoSpaceDE w:val="0"/>
        <w:autoSpaceDN w:val="0"/>
        <w:adjustRightInd w:val="0"/>
        <w:rPr>
          <w:rFonts w:ascii="Arial" w:hAnsi="Arial" w:cs="Arial"/>
          <w:iCs/>
          <w:sz w:val="24"/>
          <w:szCs w:val="24"/>
        </w:rPr>
      </w:pPr>
    </w:p>
    <w:p w14:paraId="720913A2" w14:textId="058711DB" w:rsidR="00B80B53" w:rsidRPr="007D4A14" w:rsidRDefault="00B80B53" w:rsidP="00B37A3B">
      <w:pPr>
        <w:keepLines/>
        <w:rPr>
          <w:rFonts w:ascii="Arial" w:hAnsi="Arial" w:cs="Arial"/>
          <w:iCs/>
          <w:color w:val="FF0000"/>
          <w:sz w:val="24"/>
          <w:szCs w:val="24"/>
        </w:rPr>
      </w:pPr>
      <w:r>
        <w:rPr>
          <w:rFonts w:ascii="Arial" w:hAnsi="Arial" w:cs="Arial"/>
          <w:iCs/>
          <w:sz w:val="24"/>
          <w:szCs w:val="24"/>
        </w:rPr>
        <w:t xml:space="preserve">In addition to this, I am publishing information </w:t>
      </w:r>
      <w:r w:rsidRPr="00584873">
        <w:rPr>
          <w:rFonts w:ascii="Arial" w:hAnsi="Arial" w:cs="Arial"/>
          <w:sz w:val="24"/>
          <w:szCs w:val="24"/>
        </w:rPr>
        <w:t>on revenue and capital gra</w:t>
      </w:r>
      <w:r>
        <w:rPr>
          <w:rFonts w:ascii="Arial" w:hAnsi="Arial" w:cs="Arial"/>
          <w:sz w:val="24"/>
          <w:szCs w:val="24"/>
        </w:rPr>
        <w:t>nts planned for 202</w:t>
      </w:r>
      <w:r w:rsidR="008C2E4E">
        <w:rPr>
          <w:rFonts w:ascii="Arial" w:hAnsi="Arial" w:cs="Arial"/>
          <w:sz w:val="24"/>
          <w:szCs w:val="24"/>
        </w:rPr>
        <w:t xml:space="preserve">0-21.  These amount to </w:t>
      </w:r>
      <w:r w:rsidR="002B005C">
        <w:rPr>
          <w:rFonts w:ascii="Arial" w:hAnsi="Arial" w:cs="Arial"/>
          <w:sz w:val="24"/>
          <w:szCs w:val="24"/>
        </w:rPr>
        <w:t>nearly</w:t>
      </w:r>
      <w:r w:rsidR="008C2E4E">
        <w:rPr>
          <w:rFonts w:ascii="Arial" w:hAnsi="Arial" w:cs="Arial"/>
          <w:sz w:val="24"/>
          <w:szCs w:val="24"/>
        </w:rPr>
        <w:t xml:space="preserve"> £1 billion for revenue and over</w:t>
      </w:r>
      <w:r>
        <w:rPr>
          <w:rFonts w:ascii="Arial" w:hAnsi="Arial" w:cs="Arial"/>
          <w:sz w:val="24"/>
          <w:szCs w:val="24"/>
        </w:rPr>
        <w:t xml:space="preserve"> </w:t>
      </w:r>
      <w:r w:rsidR="008C2E4E">
        <w:rPr>
          <w:rFonts w:ascii="Arial" w:hAnsi="Arial" w:cs="Arial"/>
          <w:sz w:val="24"/>
          <w:szCs w:val="24"/>
        </w:rPr>
        <w:t>£6</w:t>
      </w:r>
      <w:r w:rsidR="006E225A">
        <w:rPr>
          <w:rFonts w:ascii="Arial" w:hAnsi="Arial" w:cs="Arial"/>
          <w:sz w:val="24"/>
          <w:szCs w:val="24"/>
        </w:rPr>
        <w:t>4</w:t>
      </w:r>
      <w:r w:rsidR="008C2E4E">
        <w:rPr>
          <w:rFonts w:ascii="Arial" w:hAnsi="Arial" w:cs="Arial"/>
          <w:sz w:val="24"/>
          <w:szCs w:val="24"/>
        </w:rPr>
        <w:t>0</w:t>
      </w:r>
      <w:r w:rsidR="00373E90">
        <w:rPr>
          <w:rFonts w:ascii="Arial" w:hAnsi="Arial" w:cs="Arial"/>
          <w:sz w:val="24"/>
          <w:szCs w:val="24"/>
        </w:rPr>
        <w:t xml:space="preserve"> million </w:t>
      </w:r>
      <w:r>
        <w:rPr>
          <w:rFonts w:ascii="Arial" w:hAnsi="Arial" w:cs="Arial"/>
          <w:sz w:val="24"/>
          <w:szCs w:val="24"/>
        </w:rPr>
        <w:t>for capital</w:t>
      </w:r>
      <w:r w:rsidR="006E5C94">
        <w:rPr>
          <w:rFonts w:ascii="Arial" w:hAnsi="Arial" w:cs="Arial"/>
          <w:sz w:val="24"/>
          <w:szCs w:val="24"/>
        </w:rPr>
        <w:t xml:space="preserve">.  </w:t>
      </w:r>
      <w:r w:rsidR="00373E90">
        <w:rPr>
          <w:rFonts w:ascii="Arial" w:hAnsi="Arial" w:cs="Arial"/>
          <w:sz w:val="24"/>
          <w:szCs w:val="24"/>
        </w:rPr>
        <w:t xml:space="preserve">The Government is </w:t>
      </w:r>
      <w:r w:rsidR="00396C23">
        <w:rPr>
          <w:rFonts w:ascii="Arial" w:hAnsi="Arial" w:cs="Arial"/>
          <w:sz w:val="24"/>
          <w:szCs w:val="24"/>
        </w:rPr>
        <w:t xml:space="preserve">providing </w:t>
      </w:r>
      <w:r>
        <w:rPr>
          <w:rFonts w:ascii="Arial" w:hAnsi="Arial" w:cs="Arial"/>
          <w:sz w:val="24"/>
          <w:szCs w:val="24"/>
        </w:rPr>
        <w:t xml:space="preserve">these </w:t>
      </w:r>
      <w:r w:rsidR="00373E90">
        <w:rPr>
          <w:rFonts w:ascii="Arial" w:hAnsi="Arial" w:cs="Arial"/>
          <w:sz w:val="24"/>
          <w:szCs w:val="24"/>
        </w:rPr>
        <w:t xml:space="preserve">indicative </w:t>
      </w:r>
      <w:r>
        <w:rPr>
          <w:rFonts w:ascii="Arial" w:hAnsi="Arial" w:cs="Arial"/>
          <w:sz w:val="24"/>
          <w:szCs w:val="24"/>
        </w:rPr>
        <w:t xml:space="preserve">grant values and distributions </w:t>
      </w:r>
      <w:r w:rsidR="00373E90">
        <w:rPr>
          <w:rFonts w:ascii="Arial" w:hAnsi="Arial" w:cs="Arial"/>
          <w:sz w:val="24"/>
          <w:szCs w:val="24"/>
        </w:rPr>
        <w:t xml:space="preserve">now so that </w:t>
      </w:r>
      <w:r>
        <w:rPr>
          <w:rFonts w:ascii="Arial" w:hAnsi="Arial" w:cs="Arial"/>
          <w:sz w:val="24"/>
          <w:szCs w:val="24"/>
        </w:rPr>
        <w:t>local authorities are able to plan their budgets efficiently. This</w:t>
      </w:r>
      <w:r w:rsidRPr="00584873">
        <w:rPr>
          <w:rFonts w:ascii="Arial" w:hAnsi="Arial" w:cs="Arial"/>
          <w:sz w:val="24"/>
          <w:szCs w:val="24"/>
        </w:rPr>
        <w:t xml:space="preserve"> information will be further upd</w:t>
      </w:r>
      <w:r>
        <w:rPr>
          <w:rFonts w:ascii="Arial" w:hAnsi="Arial" w:cs="Arial"/>
          <w:sz w:val="24"/>
          <w:szCs w:val="24"/>
        </w:rPr>
        <w:t>ated for the final settlement.</w:t>
      </w:r>
      <w:r>
        <w:rPr>
          <w:rFonts w:ascii="Arial" w:hAnsi="Arial" w:cs="Arial"/>
          <w:color w:val="FF0000"/>
          <w:sz w:val="24"/>
          <w:szCs w:val="24"/>
        </w:rPr>
        <w:t xml:space="preserve"> </w:t>
      </w:r>
    </w:p>
    <w:p w14:paraId="16B40CA9" w14:textId="77777777" w:rsidR="000665B5" w:rsidRDefault="000665B5" w:rsidP="005807FA">
      <w:pPr>
        <w:keepLines/>
        <w:rPr>
          <w:rFonts w:ascii="Arial" w:hAnsi="Arial" w:cs="Arial"/>
          <w:sz w:val="24"/>
          <w:szCs w:val="24"/>
        </w:rPr>
      </w:pPr>
    </w:p>
    <w:p w14:paraId="43F9A01E" w14:textId="692F64B4" w:rsidR="00631074" w:rsidRDefault="00373E90" w:rsidP="000665B5">
      <w:pPr>
        <w:keepLines/>
        <w:rPr>
          <w:rFonts w:ascii="Arial" w:hAnsi="Arial" w:cs="Arial"/>
          <w:sz w:val="24"/>
          <w:szCs w:val="24"/>
        </w:rPr>
      </w:pPr>
      <w:r>
        <w:rPr>
          <w:rFonts w:ascii="Arial" w:hAnsi="Arial" w:cs="Arial"/>
          <w:sz w:val="24"/>
          <w:szCs w:val="24"/>
        </w:rPr>
        <w:t xml:space="preserve">While funding other than specific grants is unhypothecated and </w:t>
      </w:r>
      <w:r w:rsidR="00604BC6">
        <w:rPr>
          <w:rFonts w:ascii="Arial" w:hAnsi="Arial" w:cs="Arial"/>
          <w:sz w:val="24"/>
          <w:szCs w:val="24"/>
        </w:rPr>
        <w:t xml:space="preserve">therefore </w:t>
      </w:r>
      <w:r>
        <w:rPr>
          <w:rFonts w:ascii="Arial" w:hAnsi="Arial" w:cs="Arial"/>
          <w:sz w:val="24"/>
          <w:szCs w:val="24"/>
        </w:rPr>
        <w:t xml:space="preserve">for local authorities to determine, the Government has recognised </w:t>
      </w:r>
      <w:r w:rsidR="00396C23">
        <w:rPr>
          <w:rFonts w:ascii="Arial" w:hAnsi="Arial" w:cs="Arial"/>
          <w:sz w:val="24"/>
          <w:szCs w:val="24"/>
        </w:rPr>
        <w:t xml:space="preserve">in this settlement </w:t>
      </w:r>
      <w:r>
        <w:rPr>
          <w:rFonts w:ascii="Arial" w:hAnsi="Arial" w:cs="Arial"/>
          <w:sz w:val="24"/>
          <w:szCs w:val="24"/>
        </w:rPr>
        <w:t xml:space="preserve">the specific and unavoidable </w:t>
      </w:r>
      <w:r w:rsidR="000665B5" w:rsidRPr="00485323">
        <w:rPr>
          <w:rFonts w:ascii="Arial" w:hAnsi="Arial" w:cs="Arial"/>
          <w:sz w:val="24"/>
          <w:szCs w:val="24"/>
        </w:rPr>
        <w:t xml:space="preserve">additional costs arising from the UK Government’s announced changes to employer pension contributions. We have provided funding for </w:t>
      </w:r>
      <w:r>
        <w:rPr>
          <w:rFonts w:ascii="Arial" w:hAnsi="Arial" w:cs="Arial"/>
          <w:sz w:val="24"/>
          <w:szCs w:val="24"/>
        </w:rPr>
        <w:t>these</w:t>
      </w:r>
      <w:r w:rsidR="00604BC6">
        <w:rPr>
          <w:rFonts w:ascii="Arial" w:hAnsi="Arial" w:cs="Arial"/>
          <w:sz w:val="24"/>
          <w:szCs w:val="24"/>
        </w:rPr>
        <w:t xml:space="preserve">, </w:t>
      </w:r>
      <w:r>
        <w:rPr>
          <w:rFonts w:ascii="Arial" w:hAnsi="Arial" w:cs="Arial"/>
          <w:sz w:val="24"/>
          <w:szCs w:val="24"/>
        </w:rPr>
        <w:t xml:space="preserve">for </w:t>
      </w:r>
      <w:r w:rsidR="000665B5" w:rsidRPr="00485323">
        <w:rPr>
          <w:rFonts w:ascii="Arial" w:hAnsi="Arial" w:cs="Arial"/>
          <w:sz w:val="24"/>
          <w:szCs w:val="24"/>
        </w:rPr>
        <w:t>additional costs arising from the 2019/20 teachers’ pay deal for the remainder of the academic year and</w:t>
      </w:r>
      <w:r w:rsidR="00604BC6">
        <w:rPr>
          <w:rFonts w:ascii="Arial" w:hAnsi="Arial" w:cs="Arial"/>
          <w:sz w:val="24"/>
          <w:szCs w:val="24"/>
        </w:rPr>
        <w:t>,</w:t>
      </w:r>
      <w:r w:rsidR="000665B5" w:rsidRPr="00485323">
        <w:rPr>
          <w:rFonts w:ascii="Arial" w:hAnsi="Arial" w:cs="Arial"/>
          <w:sz w:val="24"/>
          <w:szCs w:val="24"/>
        </w:rPr>
        <w:t xml:space="preserve"> beyond this</w:t>
      </w:r>
      <w:r w:rsidR="00604BC6">
        <w:rPr>
          <w:rFonts w:ascii="Arial" w:hAnsi="Arial" w:cs="Arial"/>
          <w:sz w:val="24"/>
          <w:szCs w:val="24"/>
        </w:rPr>
        <w:t xml:space="preserve">, in recognition of the </w:t>
      </w:r>
      <w:r w:rsidR="000665B5" w:rsidRPr="00485323">
        <w:rPr>
          <w:rFonts w:ascii="Arial" w:hAnsi="Arial" w:cs="Arial"/>
          <w:sz w:val="24"/>
          <w:szCs w:val="24"/>
        </w:rPr>
        <w:t xml:space="preserve">future impact of teachers’ pay awards which will come into effect from September 2020. </w:t>
      </w:r>
    </w:p>
    <w:p w14:paraId="5A806D46" w14:textId="77777777" w:rsidR="00631074" w:rsidRDefault="00631074" w:rsidP="000665B5">
      <w:pPr>
        <w:keepLines/>
        <w:rPr>
          <w:rFonts w:ascii="Arial" w:hAnsi="Arial" w:cs="Arial"/>
          <w:sz w:val="24"/>
          <w:szCs w:val="24"/>
        </w:rPr>
      </w:pPr>
    </w:p>
    <w:p w14:paraId="3E439AAE" w14:textId="15D99B34" w:rsidR="00373E90" w:rsidRDefault="00373E90" w:rsidP="00373E90">
      <w:pPr>
        <w:keepLines/>
        <w:autoSpaceDE w:val="0"/>
        <w:autoSpaceDN w:val="0"/>
        <w:adjustRightInd w:val="0"/>
        <w:rPr>
          <w:rFonts w:ascii="Arial" w:hAnsi="Arial" w:cs="Arial"/>
          <w:sz w:val="24"/>
          <w:szCs w:val="24"/>
        </w:rPr>
      </w:pPr>
      <w:r>
        <w:rPr>
          <w:rFonts w:ascii="Arial" w:hAnsi="Arial" w:cs="Arial"/>
          <w:iCs/>
          <w:sz w:val="24"/>
          <w:szCs w:val="24"/>
        </w:rPr>
        <w:lastRenderedPageBreak/>
        <w:t xml:space="preserve">In line with the Government’s focus on countering the effects of poverty, we </w:t>
      </w:r>
      <w:r w:rsidRPr="005807FA">
        <w:rPr>
          <w:rFonts w:ascii="Arial" w:hAnsi="Arial" w:cs="Arial"/>
          <w:iCs/>
          <w:sz w:val="24"/>
          <w:szCs w:val="24"/>
        </w:rPr>
        <w:t>remain committed to protecting vulnerable and low-income households from any reduction in support under the Council Tax Reduction Schemes, despite the shortfall in the funding transferred by the UK Government following its abolition of Council Tax Benefit.</w:t>
      </w:r>
      <w:r>
        <w:rPr>
          <w:rFonts w:ascii="Arial" w:hAnsi="Arial" w:cs="Arial"/>
          <w:iCs/>
          <w:sz w:val="24"/>
          <w:szCs w:val="24"/>
        </w:rPr>
        <w:t xml:space="preserve"> </w:t>
      </w:r>
      <w:r w:rsidRPr="005807FA">
        <w:rPr>
          <w:rFonts w:ascii="Arial" w:hAnsi="Arial" w:cs="Arial"/>
          <w:sz w:val="24"/>
          <w:szCs w:val="24"/>
        </w:rPr>
        <w:t xml:space="preserve">We will continue to maintain full entitlements under our Council Tax Reduction Scheme (CTRS) for </w:t>
      </w:r>
      <w:r>
        <w:rPr>
          <w:rFonts w:ascii="Arial" w:hAnsi="Arial" w:cs="Arial"/>
          <w:sz w:val="24"/>
          <w:szCs w:val="24"/>
        </w:rPr>
        <w:t>2020-21</w:t>
      </w:r>
      <w:r w:rsidRPr="005807FA">
        <w:rPr>
          <w:rFonts w:ascii="Arial" w:hAnsi="Arial" w:cs="Arial"/>
          <w:sz w:val="24"/>
          <w:szCs w:val="24"/>
        </w:rPr>
        <w:t xml:space="preserve"> and are again providing </w:t>
      </w:r>
      <w:r w:rsidRPr="005807FA">
        <w:rPr>
          <w:rFonts w:ascii="Arial" w:hAnsi="Arial" w:cs="Arial"/>
          <w:iCs/>
          <w:sz w:val="24"/>
          <w:szCs w:val="24"/>
        </w:rPr>
        <w:t>£244 million for CTRS in the local government settlement in recognition of this</w:t>
      </w:r>
      <w:r w:rsidRPr="005807FA">
        <w:rPr>
          <w:rFonts w:ascii="Arial" w:hAnsi="Arial" w:cs="Arial"/>
          <w:sz w:val="24"/>
          <w:szCs w:val="24"/>
        </w:rPr>
        <w:t>.</w:t>
      </w:r>
    </w:p>
    <w:p w14:paraId="50B53142" w14:textId="77777777" w:rsidR="00373E90" w:rsidRDefault="00373E90" w:rsidP="00373E90">
      <w:pPr>
        <w:keepLines/>
        <w:autoSpaceDE w:val="0"/>
        <w:autoSpaceDN w:val="0"/>
        <w:adjustRightInd w:val="0"/>
        <w:rPr>
          <w:rFonts w:ascii="Arial" w:hAnsi="Arial" w:cs="Arial"/>
          <w:sz w:val="24"/>
          <w:szCs w:val="24"/>
        </w:rPr>
      </w:pPr>
    </w:p>
    <w:p w14:paraId="0BECF01F" w14:textId="73191B08" w:rsidR="000665B5" w:rsidRDefault="00625D77" w:rsidP="000665B5">
      <w:pPr>
        <w:keepLines/>
        <w:rPr>
          <w:rFonts w:ascii="Arial" w:hAnsi="Arial" w:cs="Arial"/>
          <w:sz w:val="24"/>
          <w:szCs w:val="24"/>
        </w:rPr>
      </w:pPr>
      <w:r>
        <w:rPr>
          <w:rFonts w:ascii="Arial" w:hAnsi="Arial" w:cs="Arial"/>
          <w:sz w:val="24"/>
          <w:szCs w:val="24"/>
        </w:rPr>
        <w:t>We are</w:t>
      </w:r>
      <w:r w:rsidR="000665B5" w:rsidRPr="00485323">
        <w:rPr>
          <w:rFonts w:ascii="Arial" w:hAnsi="Arial" w:cs="Arial"/>
          <w:sz w:val="24"/>
          <w:szCs w:val="24"/>
        </w:rPr>
        <w:t xml:space="preserve"> </w:t>
      </w:r>
      <w:r w:rsidR="00373E90">
        <w:rPr>
          <w:rFonts w:ascii="Arial" w:hAnsi="Arial" w:cs="Arial"/>
          <w:sz w:val="24"/>
          <w:szCs w:val="24"/>
        </w:rPr>
        <w:t xml:space="preserve">also </w:t>
      </w:r>
      <w:r w:rsidR="000665B5" w:rsidRPr="00485323">
        <w:rPr>
          <w:rFonts w:ascii="Arial" w:hAnsi="Arial" w:cs="Arial"/>
          <w:sz w:val="24"/>
          <w:szCs w:val="24"/>
        </w:rPr>
        <w:t>continuing to provide funding for our proposals for new eligibility criteria for free school meals, given the continued rollout of Universal Credit by the UK Government.</w:t>
      </w:r>
      <w:r w:rsidR="00631074" w:rsidRPr="00631074">
        <w:rPr>
          <w:rFonts w:ascii="Arial" w:hAnsi="Arial" w:cs="Arial"/>
          <w:sz w:val="24"/>
          <w:szCs w:val="24"/>
        </w:rPr>
        <w:t xml:space="preserve"> </w:t>
      </w:r>
      <w:r w:rsidR="00631074" w:rsidRPr="005807FA">
        <w:rPr>
          <w:rFonts w:ascii="Arial" w:hAnsi="Arial" w:cs="Arial"/>
          <w:sz w:val="24"/>
          <w:szCs w:val="24"/>
        </w:rPr>
        <w:t xml:space="preserve">This will </w:t>
      </w:r>
      <w:r w:rsidR="00631074">
        <w:rPr>
          <w:rFonts w:ascii="Arial" w:hAnsi="Arial" w:cs="Arial"/>
          <w:sz w:val="24"/>
          <w:szCs w:val="24"/>
        </w:rPr>
        <w:t xml:space="preserve">continue to </w:t>
      </w:r>
      <w:r w:rsidR="00631074" w:rsidRPr="005807FA">
        <w:rPr>
          <w:rFonts w:ascii="Arial" w:hAnsi="Arial" w:cs="Arial"/>
          <w:sz w:val="24"/>
          <w:szCs w:val="24"/>
        </w:rPr>
        <w:t>support local authorities in meeting the costs associated with our proposed threshold and transitional protection measures.</w:t>
      </w:r>
    </w:p>
    <w:p w14:paraId="1BC49900" w14:textId="77777777" w:rsidR="009E380F" w:rsidRDefault="009E380F" w:rsidP="000665B5">
      <w:pPr>
        <w:keepLines/>
        <w:rPr>
          <w:rFonts w:ascii="Arial" w:hAnsi="Arial" w:cs="Arial"/>
          <w:sz w:val="24"/>
          <w:szCs w:val="24"/>
        </w:rPr>
      </w:pPr>
    </w:p>
    <w:p w14:paraId="50B2395B" w14:textId="3B92F787" w:rsidR="00373E90" w:rsidRDefault="00373E90" w:rsidP="00373E90">
      <w:pPr>
        <w:pStyle w:val="ListParagraph"/>
        <w:keepLines/>
        <w:ind w:left="0"/>
        <w:rPr>
          <w:rFonts w:ascii="Arial" w:hAnsi="Arial"/>
          <w:sz w:val="24"/>
          <w:szCs w:val="24"/>
        </w:rPr>
      </w:pPr>
      <w:r w:rsidRPr="005807FA">
        <w:rPr>
          <w:rFonts w:ascii="Arial" w:hAnsi="Arial" w:cs="Arial"/>
          <w:sz w:val="24"/>
          <w:szCs w:val="24"/>
        </w:rPr>
        <w:t xml:space="preserve">Alongside the settlement we are, again, providing </w:t>
      </w:r>
      <w:r w:rsidR="00EE2292">
        <w:rPr>
          <w:rFonts w:ascii="Arial" w:hAnsi="Arial" w:cs="Arial"/>
          <w:sz w:val="24"/>
          <w:szCs w:val="24"/>
        </w:rPr>
        <w:t>funding</w:t>
      </w:r>
      <w:r w:rsidRPr="005807FA">
        <w:rPr>
          <w:rFonts w:ascii="Arial" w:hAnsi="Arial" w:cs="Arial"/>
          <w:sz w:val="24"/>
          <w:szCs w:val="24"/>
        </w:rPr>
        <w:t xml:space="preserve"> to support local government to eliminate charging for child burials.  This </w:t>
      </w:r>
      <w:r>
        <w:rPr>
          <w:rFonts w:ascii="Arial" w:hAnsi="Arial" w:cs="Arial"/>
          <w:sz w:val="24"/>
          <w:szCs w:val="24"/>
        </w:rPr>
        <w:t>continues to build</w:t>
      </w:r>
      <w:r w:rsidRPr="005807FA">
        <w:rPr>
          <w:rFonts w:ascii="Arial" w:hAnsi="Arial" w:cs="Arial"/>
          <w:sz w:val="24"/>
          <w:szCs w:val="24"/>
        </w:rPr>
        <w:t xml:space="preserve"> on the positive steps already taken by all councils in Wales and continues to ensure a fair and consistent approach across Wales</w:t>
      </w:r>
      <w:r w:rsidRPr="005807FA">
        <w:rPr>
          <w:rFonts w:ascii="Arial" w:hAnsi="Arial"/>
          <w:sz w:val="24"/>
          <w:szCs w:val="24"/>
        </w:rPr>
        <w:t>.</w:t>
      </w:r>
    </w:p>
    <w:p w14:paraId="37374D97" w14:textId="77777777" w:rsidR="00373E90" w:rsidRDefault="00373E90" w:rsidP="009E380F">
      <w:pPr>
        <w:pStyle w:val="Default"/>
        <w:keepLines/>
        <w:rPr>
          <w:szCs w:val="23"/>
        </w:rPr>
      </w:pPr>
    </w:p>
    <w:p w14:paraId="602E5044" w14:textId="213068F6" w:rsidR="009E380F" w:rsidRDefault="006E5C94" w:rsidP="009E380F">
      <w:pPr>
        <w:pStyle w:val="Default"/>
        <w:keepLines/>
        <w:rPr>
          <w:szCs w:val="23"/>
        </w:rPr>
      </w:pPr>
      <w:r>
        <w:rPr>
          <w:szCs w:val="23"/>
        </w:rPr>
        <w:t>The</w:t>
      </w:r>
      <w:r w:rsidR="009E380F">
        <w:rPr>
          <w:szCs w:val="23"/>
        </w:rPr>
        <w:t xml:space="preserve"> settlement includes an additional £2.4 million, on top of that provided through the 2019-20 settlement, for authorities </w:t>
      </w:r>
      <w:r w:rsidR="009E380F" w:rsidRPr="00947D9D">
        <w:rPr>
          <w:szCs w:val="23"/>
          <w:lang w:val="en"/>
        </w:rPr>
        <w:t>to provide additional discretionary rates relief for local businesses and other ratepayers to respond to specific local issues</w:t>
      </w:r>
    </w:p>
    <w:p w14:paraId="6BCA348A" w14:textId="77777777" w:rsidR="009E380F" w:rsidRDefault="009E380F" w:rsidP="009E380F">
      <w:pPr>
        <w:pStyle w:val="Default"/>
        <w:keepLines/>
        <w:rPr>
          <w:szCs w:val="23"/>
        </w:rPr>
      </w:pPr>
    </w:p>
    <w:p w14:paraId="1EE0A6C6" w14:textId="28FD6563" w:rsidR="005807FA" w:rsidRDefault="007150BC" w:rsidP="005807FA">
      <w:pPr>
        <w:keepLines/>
        <w:rPr>
          <w:rFonts w:ascii="Arial" w:hAnsi="Arial" w:cs="Arial"/>
          <w:sz w:val="24"/>
          <w:szCs w:val="24"/>
        </w:rPr>
      </w:pPr>
      <w:r w:rsidRPr="00485323">
        <w:rPr>
          <w:rFonts w:ascii="Arial" w:hAnsi="Arial" w:cs="Arial"/>
          <w:sz w:val="24"/>
          <w:szCs w:val="24"/>
        </w:rPr>
        <w:t xml:space="preserve">This settlement provides </w:t>
      </w:r>
      <w:r>
        <w:rPr>
          <w:rFonts w:ascii="Arial" w:hAnsi="Arial" w:cs="Arial"/>
          <w:sz w:val="24"/>
          <w:szCs w:val="24"/>
        </w:rPr>
        <w:t>local government</w:t>
      </w:r>
      <w:r w:rsidRPr="00485323">
        <w:rPr>
          <w:rFonts w:ascii="Arial" w:hAnsi="Arial" w:cs="Arial"/>
          <w:sz w:val="24"/>
          <w:szCs w:val="24"/>
        </w:rPr>
        <w:t xml:space="preserve"> with the most stable platform I can offer for planning budgets for the forthcoming financial year. I fully appreciate the pressures local government </w:t>
      </w:r>
      <w:r w:rsidR="009727E4">
        <w:rPr>
          <w:rFonts w:ascii="Arial" w:hAnsi="Arial" w:cs="Arial"/>
          <w:sz w:val="24"/>
          <w:szCs w:val="24"/>
        </w:rPr>
        <w:t xml:space="preserve">continues to face following a decade of austerity. This </w:t>
      </w:r>
      <w:r w:rsidR="00604BC6">
        <w:rPr>
          <w:rFonts w:ascii="Arial" w:hAnsi="Arial" w:cs="Arial"/>
          <w:sz w:val="24"/>
          <w:szCs w:val="24"/>
        </w:rPr>
        <w:t xml:space="preserve">good </w:t>
      </w:r>
      <w:r w:rsidRPr="00485323">
        <w:rPr>
          <w:rFonts w:ascii="Arial" w:hAnsi="Arial" w:cs="Arial"/>
          <w:sz w:val="24"/>
          <w:szCs w:val="24"/>
        </w:rPr>
        <w:t xml:space="preserve">settlement </w:t>
      </w:r>
      <w:r w:rsidR="009727E4">
        <w:rPr>
          <w:rFonts w:ascii="Arial" w:hAnsi="Arial" w:cs="Arial"/>
          <w:sz w:val="24"/>
          <w:szCs w:val="24"/>
        </w:rPr>
        <w:t xml:space="preserve">responds to </w:t>
      </w:r>
      <w:r w:rsidRPr="00485323">
        <w:rPr>
          <w:rFonts w:ascii="Arial" w:hAnsi="Arial" w:cs="Arial"/>
          <w:sz w:val="24"/>
          <w:szCs w:val="24"/>
        </w:rPr>
        <w:t xml:space="preserve">the pressures that </w:t>
      </w:r>
      <w:r>
        <w:rPr>
          <w:rFonts w:ascii="Arial" w:hAnsi="Arial" w:cs="Arial"/>
          <w:sz w:val="24"/>
          <w:szCs w:val="24"/>
        </w:rPr>
        <w:t>local government</w:t>
      </w:r>
      <w:r w:rsidRPr="00485323">
        <w:rPr>
          <w:rFonts w:ascii="Arial" w:hAnsi="Arial" w:cs="Arial"/>
          <w:sz w:val="24"/>
          <w:szCs w:val="24"/>
        </w:rPr>
        <w:t xml:space="preserve"> had been anticipating and offers an opportunity to plan for the future</w:t>
      </w:r>
      <w:r>
        <w:rPr>
          <w:rFonts w:ascii="Arial" w:hAnsi="Arial" w:cs="Arial"/>
          <w:sz w:val="24"/>
          <w:szCs w:val="24"/>
        </w:rPr>
        <w:t>.</w:t>
      </w:r>
    </w:p>
    <w:p w14:paraId="2B6ACDA0" w14:textId="77777777" w:rsidR="007150BC" w:rsidRPr="005807FA" w:rsidRDefault="007150BC" w:rsidP="005807FA">
      <w:pPr>
        <w:keepLines/>
        <w:rPr>
          <w:rFonts w:ascii="Arial" w:hAnsi="Arial" w:cs="Arial"/>
          <w:color w:val="FF0000"/>
          <w:sz w:val="24"/>
          <w:szCs w:val="24"/>
        </w:rPr>
      </w:pPr>
    </w:p>
    <w:p w14:paraId="3B5F48D8" w14:textId="67338800" w:rsidR="005807FA" w:rsidRPr="005807FA" w:rsidRDefault="005807FA" w:rsidP="005807FA">
      <w:pPr>
        <w:keepLines/>
        <w:rPr>
          <w:rFonts w:ascii="Arial" w:hAnsi="Arial" w:cs="Arial"/>
          <w:sz w:val="24"/>
          <w:szCs w:val="24"/>
        </w:rPr>
      </w:pPr>
      <w:r w:rsidRPr="005807FA">
        <w:rPr>
          <w:rFonts w:ascii="Arial" w:hAnsi="Arial" w:cs="Arial"/>
          <w:sz w:val="24"/>
          <w:szCs w:val="24"/>
        </w:rPr>
        <w:t>Attached to this statement is a summary table setting out the settlement allocations by authority.</w:t>
      </w:r>
      <w:r w:rsidR="000767A1">
        <w:rPr>
          <w:rFonts w:ascii="Arial" w:hAnsi="Arial" w:cs="Arial"/>
          <w:sz w:val="24"/>
          <w:szCs w:val="24"/>
        </w:rPr>
        <w:t xml:space="preserve"> </w:t>
      </w:r>
      <w:r w:rsidRPr="005807FA">
        <w:rPr>
          <w:rFonts w:ascii="Arial" w:hAnsi="Arial" w:cs="Arial"/>
          <w:sz w:val="24"/>
          <w:szCs w:val="24"/>
        </w:rPr>
        <w:t>The allocations are derived using the formula agreed with local government.  As a result of the formula and related data, the table shows the range of the funding allocations</w:t>
      </w:r>
      <w:r w:rsidR="007150BC">
        <w:rPr>
          <w:rFonts w:ascii="Arial" w:hAnsi="Arial" w:cs="Arial"/>
          <w:sz w:val="24"/>
          <w:szCs w:val="24"/>
        </w:rPr>
        <w:t>, from a 3% increase over the 2019-20 settlement to a 5.4% increase.</w:t>
      </w:r>
    </w:p>
    <w:p w14:paraId="517A5884" w14:textId="77777777" w:rsidR="005807FA" w:rsidRPr="005807FA" w:rsidRDefault="005807FA" w:rsidP="005807FA">
      <w:pPr>
        <w:keepLines/>
        <w:rPr>
          <w:rFonts w:ascii="Arial" w:hAnsi="Arial" w:cs="Arial"/>
          <w:color w:val="FF0000"/>
          <w:sz w:val="24"/>
          <w:szCs w:val="24"/>
        </w:rPr>
      </w:pPr>
    </w:p>
    <w:p w14:paraId="5DA295D2" w14:textId="77777777" w:rsidR="005807FA" w:rsidRPr="005807FA" w:rsidRDefault="005807FA" w:rsidP="005807FA">
      <w:pPr>
        <w:keepLines/>
        <w:rPr>
          <w:rFonts w:ascii="Arial" w:hAnsi="Arial" w:cs="Arial"/>
          <w:sz w:val="24"/>
          <w:szCs w:val="24"/>
        </w:rPr>
      </w:pPr>
      <w:r w:rsidRPr="005807FA">
        <w:rPr>
          <w:rFonts w:ascii="Arial" w:hAnsi="Arial" w:cs="Arial"/>
          <w:sz w:val="24"/>
          <w:szCs w:val="24"/>
        </w:rPr>
        <w:t>Further details on the settlement will be sent to all local authorities and published on the Welsh Government’s website:</w:t>
      </w:r>
    </w:p>
    <w:p w14:paraId="415A7946" w14:textId="77777777" w:rsidR="005807FA" w:rsidRPr="005807FA" w:rsidRDefault="005807FA" w:rsidP="005807FA">
      <w:pPr>
        <w:keepLines/>
        <w:rPr>
          <w:rFonts w:ascii="Arial" w:hAnsi="Arial" w:cs="Arial"/>
          <w:sz w:val="24"/>
          <w:szCs w:val="24"/>
        </w:rPr>
      </w:pPr>
    </w:p>
    <w:p w14:paraId="46EB400E" w14:textId="77777777" w:rsidR="007150BC" w:rsidRPr="007150BC" w:rsidRDefault="00187BE4" w:rsidP="007150BC">
      <w:pPr>
        <w:rPr>
          <w:rFonts w:ascii="Arial" w:hAnsi="Arial" w:cs="Arial"/>
          <w:sz w:val="24"/>
          <w:szCs w:val="24"/>
        </w:rPr>
      </w:pPr>
      <w:hyperlink r:id="rId11" w:history="1">
        <w:r w:rsidR="007150BC" w:rsidRPr="007150BC">
          <w:rPr>
            <w:rStyle w:val="Hyperlink"/>
            <w:rFonts w:ascii="Arial" w:hAnsi="Arial" w:cs="Arial"/>
            <w:sz w:val="24"/>
            <w:szCs w:val="24"/>
          </w:rPr>
          <w:t>https://gov.wales/local-government-revenue-and-capital-settlement-2020-2021</w:t>
        </w:r>
      </w:hyperlink>
      <w:r w:rsidR="007150BC" w:rsidRPr="007150BC">
        <w:rPr>
          <w:rFonts w:ascii="Arial" w:hAnsi="Arial" w:cs="Arial"/>
          <w:sz w:val="24"/>
          <w:szCs w:val="24"/>
        </w:rPr>
        <w:t xml:space="preserve"> </w:t>
      </w:r>
    </w:p>
    <w:p w14:paraId="214BE344" w14:textId="77777777" w:rsidR="00B80B53" w:rsidRDefault="00B80B53" w:rsidP="00B80B53">
      <w:pPr>
        <w:keepLines/>
        <w:rPr>
          <w:rFonts w:ascii="Arial" w:hAnsi="Arial" w:cs="Arial"/>
          <w:sz w:val="24"/>
          <w:szCs w:val="24"/>
        </w:rPr>
      </w:pPr>
    </w:p>
    <w:p w14:paraId="0DACE955" w14:textId="0DC3882D" w:rsidR="00B80B53" w:rsidRDefault="00B80B53" w:rsidP="00B80B53">
      <w:pPr>
        <w:keepLines/>
        <w:rPr>
          <w:rFonts w:ascii="Arial" w:hAnsi="Arial" w:cs="Arial"/>
          <w:sz w:val="24"/>
          <w:szCs w:val="24"/>
        </w:rPr>
      </w:pPr>
      <w:r w:rsidRPr="00485323">
        <w:rPr>
          <w:rFonts w:ascii="Arial" w:hAnsi="Arial" w:cs="Arial"/>
          <w:sz w:val="24"/>
          <w:szCs w:val="24"/>
        </w:rPr>
        <w:t xml:space="preserve">I have given careful consideration to the potential of including a funding floor for this settlement. Given that every authority will see an increase of at least 3% over 2019-20 on a like-for-like basis, I have concluded that a funding floor is not necessary in this particular instance. This will also enable us to reset the settlement base and fund authorities </w:t>
      </w:r>
      <w:r>
        <w:rPr>
          <w:rFonts w:ascii="Arial" w:hAnsi="Arial" w:cs="Arial"/>
          <w:sz w:val="24"/>
          <w:szCs w:val="24"/>
        </w:rPr>
        <w:t>according to relative need, and not to make up for the implementation of historic floors.</w:t>
      </w:r>
    </w:p>
    <w:p w14:paraId="4A0539D1" w14:textId="77777777" w:rsidR="005807FA" w:rsidRPr="005807FA" w:rsidRDefault="005807FA" w:rsidP="005807FA">
      <w:pPr>
        <w:keepLines/>
        <w:rPr>
          <w:rFonts w:ascii="Arial" w:hAnsi="Arial" w:cs="Arial"/>
          <w:color w:val="FF0000"/>
          <w:sz w:val="24"/>
          <w:szCs w:val="24"/>
        </w:rPr>
      </w:pPr>
    </w:p>
    <w:p w14:paraId="40CE656C" w14:textId="5524B91D" w:rsidR="006E5C94" w:rsidRDefault="006E5C94" w:rsidP="005807FA">
      <w:pPr>
        <w:keepLines/>
        <w:rPr>
          <w:rFonts w:ascii="Arial" w:hAnsi="Arial" w:cs="Arial"/>
          <w:sz w:val="24"/>
          <w:szCs w:val="24"/>
        </w:rPr>
      </w:pPr>
      <w:r>
        <w:rPr>
          <w:rFonts w:ascii="Arial" w:hAnsi="Arial" w:cs="Arial"/>
          <w:sz w:val="24"/>
          <w:szCs w:val="24"/>
        </w:rPr>
        <w:t>The total capital grants</w:t>
      </w:r>
      <w:r w:rsidR="00C7160C">
        <w:rPr>
          <w:rFonts w:ascii="Arial" w:hAnsi="Arial" w:cs="Arial"/>
          <w:sz w:val="24"/>
          <w:szCs w:val="24"/>
        </w:rPr>
        <w:t xml:space="preserve"> include the final of three instalments of £20 million for highways refurbishment schemes.</w:t>
      </w:r>
      <w:r>
        <w:rPr>
          <w:rFonts w:ascii="Arial" w:hAnsi="Arial" w:cs="Arial"/>
          <w:sz w:val="24"/>
          <w:szCs w:val="24"/>
        </w:rPr>
        <w:t xml:space="preserve"> </w:t>
      </w:r>
      <w:r w:rsidR="00C7160C">
        <w:rPr>
          <w:rFonts w:ascii="Arial" w:hAnsi="Arial" w:cs="Arial"/>
          <w:sz w:val="24"/>
          <w:szCs w:val="24"/>
        </w:rPr>
        <w:t>They</w:t>
      </w:r>
      <w:r w:rsidR="005807FA" w:rsidRPr="005807FA">
        <w:rPr>
          <w:rFonts w:ascii="Arial" w:hAnsi="Arial" w:cs="Arial"/>
          <w:sz w:val="24"/>
          <w:szCs w:val="24"/>
        </w:rPr>
        <w:t xml:space="preserve"> </w:t>
      </w:r>
      <w:r w:rsidR="00604BC6">
        <w:rPr>
          <w:rFonts w:ascii="Arial" w:hAnsi="Arial" w:cs="Arial"/>
          <w:sz w:val="24"/>
          <w:szCs w:val="24"/>
        </w:rPr>
        <w:t xml:space="preserve">also </w:t>
      </w:r>
      <w:r w:rsidR="007150BC">
        <w:rPr>
          <w:rFonts w:ascii="Arial" w:hAnsi="Arial" w:cs="Arial"/>
          <w:sz w:val="24"/>
          <w:szCs w:val="24"/>
        </w:rPr>
        <w:t>provides £178 million of</w:t>
      </w:r>
      <w:r w:rsidR="005807FA" w:rsidRPr="005807FA">
        <w:rPr>
          <w:rFonts w:ascii="Arial" w:hAnsi="Arial" w:cs="Arial"/>
          <w:sz w:val="24"/>
          <w:szCs w:val="24"/>
        </w:rPr>
        <w:t xml:space="preserve"> general capital funding </w:t>
      </w:r>
      <w:r w:rsidR="007150BC">
        <w:rPr>
          <w:rFonts w:ascii="Arial" w:hAnsi="Arial" w:cs="Arial"/>
          <w:sz w:val="24"/>
          <w:szCs w:val="24"/>
        </w:rPr>
        <w:t xml:space="preserve">– an increase of £15 million over that announced in the Final Budget last year. </w:t>
      </w:r>
      <w:r w:rsidR="000E6D6F" w:rsidRPr="000E6D6F">
        <w:rPr>
          <w:rFonts w:ascii="Arial" w:hAnsi="Arial" w:cs="Arial"/>
          <w:sz w:val="24"/>
          <w:szCs w:val="24"/>
        </w:rPr>
        <w:t xml:space="preserve">This </w:t>
      </w:r>
      <w:r w:rsidR="00604BC6">
        <w:rPr>
          <w:rFonts w:ascii="Arial" w:hAnsi="Arial" w:cs="Arial"/>
          <w:sz w:val="24"/>
          <w:szCs w:val="24"/>
        </w:rPr>
        <w:t xml:space="preserve">increase </w:t>
      </w:r>
      <w:r w:rsidR="000E6D6F" w:rsidRPr="000E6D6F">
        <w:rPr>
          <w:rFonts w:ascii="Arial" w:hAnsi="Arial" w:cs="Arial"/>
          <w:sz w:val="24"/>
          <w:szCs w:val="24"/>
        </w:rPr>
        <w:t>smooths the funding profile and will support stable capital programme planning</w:t>
      </w:r>
      <w:r w:rsidR="000E6D6F">
        <w:rPr>
          <w:rFonts w:ascii="Arial" w:hAnsi="Arial" w:cs="Arial"/>
          <w:sz w:val="24"/>
          <w:szCs w:val="24"/>
        </w:rPr>
        <w:t xml:space="preserve">.  </w:t>
      </w:r>
      <w:r w:rsidR="007150BC">
        <w:rPr>
          <w:rFonts w:ascii="Arial" w:hAnsi="Arial" w:cs="Arial"/>
          <w:sz w:val="24"/>
          <w:szCs w:val="24"/>
        </w:rPr>
        <w:t xml:space="preserve">I hope that this additional funding will enable local government to </w:t>
      </w:r>
      <w:r>
        <w:rPr>
          <w:rFonts w:ascii="Arial" w:hAnsi="Arial" w:cs="Arial"/>
          <w:sz w:val="24"/>
          <w:szCs w:val="24"/>
        </w:rPr>
        <w:t xml:space="preserve">start to </w:t>
      </w:r>
      <w:r w:rsidR="007150BC">
        <w:rPr>
          <w:rFonts w:ascii="Arial" w:hAnsi="Arial" w:cs="Arial"/>
          <w:sz w:val="24"/>
          <w:szCs w:val="24"/>
        </w:rPr>
        <w:t>respond to the urgent need to decarbonise, in light of the climate emergency declared by the Welsh Government and many councils over the past year.</w:t>
      </w:r>
      <w:r w:rsidR="00604BC6">
        <w:rPr>
          <w:rFonts w:ascii="Arial" w:hAnsi="Arial" w:cs="Arial"/>
          <w:sz w:val="24"/>
          <w:szCs w:val="24"/>
        </w:rPr>
        <w:t xml:space="preserve">  </w:t>
      </w:r>
    </w:p>
    <w:p w14:paraId="2DB7D3AC" w14:textId="54BBD873" w:rsidR="0050281F" w:rsidRDefault="00604BC6" w:rsidP="005807FA">
      <w:pPr>
        <w:keepLines/>
        <w:rPr>
          <w:rFonts w:ascii="Arial" w:hAnsi="Arial" w:cs="Arial"/>
          <w:sz w:val="24"/>
          <w:szCs w:val="24"/>
        </w:rPr>
      </w:pPr>
      <w:r>
        <w:rPr>
          <w:rFonts w:ascii="Arial" w:hAnsi="Arial" w:cs="Arial"/>
          <w:sz w:val="24"/>
          <w:szCs w:val="24"/>
        </w:rPr>
        <w:t xml:space="preserve">In my discussions with local government, many authorities have expressed a shared </w:t>
      </w:r>
      <w:r w:rsidRPr="00B37A3B">
        <w:rPr>
          <w:rFonts w:ascii="Arial" w:hAnsi="Arial" w:cs="Arial"/>
          <w:sz w:val="24"/>
          <w:szCs w:val="24"/>
        </w:rPr>
        <w:t xml:space="preserve">commitment to the need to invest in the supply of housing. Investing in social housing should </w:t>
      </w:r>
      <w:r w:rsidR="006E5C94">
        <w:rPr>
          <w:rFonts w:ascii="Arial" w:hAnsi="Arial" w:cs="Arial"/>
          <w:sz w:val="24"/>
          <w:szCs w:val="24"/>
        </w:rPr>
        <w:t xml:space="preserve">help to </w:t>
      </w:r>
      <w:r w:rsidRPr="00B37A3B">
        <w:rPr>
          <w:rFonts w:ascii="Arial" w:hAnsi="Arial" w:cs="Arial"/>
          <w:sz w:val="24"/>
          <w:szCs w:val="24"/>
        </w:rPr>
        <w:t xml:space="preserve">minimise the pressures on local authority budgets and on homelessness services. Investment in housing can also support the Welsh economy and local economies. I hope that this settlement, capital and revenue, can support </w:t>
      </w:r>
      <w:r w:rsidR="002A49EA">
        <w:rPr>
          <w:rFonts w:ascii="Arial" w:hAnsi="Arial" w:cs="Arial"/>
          <w:sz w:val="24"/>
          <w:szCs w:val="24"/>
        </w:rPr>
        <w:t>them</w:t>
      </w:r>
      <w:r w:rsidRPr="00B37A3B">
        <w:rPr>
          <w:rFonts w:ascii="Arial" w:hAnsi="Arial" w:cs="Arial"/>
          <w:sz w:val="24"/>
          <w:szCs w:val="24"/>
        </w:rPr>
        <w:t xml:space="preserve"> in increasing the scale and pace of housebuilding across Wales</w:t>
      </w:r>
      <w:r w:rsidRPr="00604BC6">
        <w:rPr>
          <w:rFonts w:ascii="Arial" w:hAnsi="Arial" w:cs="Arial"/>
          <w:sz w:val="24"/>
          <w:szCs w:val="24"/>
        </w:rPr>
        <w:t>.</w:t>
      </w:r>
    </w:p>
    <w:p w14:paraId="7FE76FDF" w14:textId="77777777" w:rsidR="006E5C94" w:rsidRDefault="006E5C94" w:rsidP="005807FA">
      <w:pPr>
        <w:keepLines/>
        <w:rPr>
          <w:rFonts w:ascii="Arial" w:hAnsi="Arial" w:cs="Arial"/>
          <w:sz w:val="24"/>
          <w:szCs w:val="24"/>
        </w:rPr>
      </w:pPr>
    </w:p>
    <w:p w14:paraId="669BCEE1" w14:textId="71354058" w:rsidR="009727E4" w:rsidRDefault="009727E4" w:rsidP="009727E4">
      <w:pPr>
        <w:keepLines/>
        <w:rPr>
          <w:rFonts w:ascii="Arial" w:hAnsi="Arial" w:cs="Arial"/>
          <w:sz w:val="24"/>
          <w:szCs w:val="24"/>
        </w:rPr>
      </w:pPr>
      <w:r w:rsidRPr="005807FA">
        <w:rPr>
          <w:rFonts w:ascii="Arial" w:hAnsi="Arial" w:cs="Arial"/>
          <w:sz w:val="24"/>
          <w:szCs w:val="24"/>
        </w:rPr>
        <w:t>I know that authorities will need to make choices in setting their budgets.  They will need to engage meaningfully with their local communities as they consider their budget priorities.  The setting of budgets, and in turn council tax, is the responsibility of each local authority and authorities will need to take account of the full range of sources of funding available to them, as well as the pressures they face, in setting their budgets for the coming year.</w:t>
      </w:r>
    </w:p>
    <w:p w14:paraId="2C4B9F9A" w14:textId="77777777" w:rsidR="005807FA" w:rsidRPr="005807FA" w:rsidRDefault="005807FA" w:rsidP="005807FA">
      <w:pPr>
        <w:keepLines/>
        <w:rPr>
          <w:rFonts w:ascii="Arial" w:hAnsi="Arial" w:cs="Arial"/>
          <w:color w:val="FF0000"/>
          <w:sz w:val="24"/>
          <w:szCs w:val="24"/>
        </w:rPr>
      </w:pPr>
    </w:p>
    <w:p w14:paraId="6C36A2C5" w14:textId="77DD7225" w:rsidR="005807FA" w:rsidRDefault="005807FA" w:rsidP="005807FA">
      <w:pPr>
        <w:keepLines/>
        <w:rPr>
          <w:rFonts w:ascii="Arial" w:hAnsi="Arial" w:cs="Arial"/>
          <w:sz w:val="24"/>
          <w:szCs w:val="24"/>
        </w:rPr>
      </w:pPr>
      <w:r w:rsidRPr="005807FA">
        <w:rPr>
          <w:rFonts w:ascii="Arial" w:hAnsi="Arial" w:cs="Arial"/>
          <w:sz w:val="24"/>
          <w:szCs w:val="24"/>
        </w:rPr>
        <w:t xml:space="preserve">This announcement commences the formal </w:t>
      </w:r>
      <w:r w:rsidR="007150BC">
        <w:rPr>
          <w:rFonts w:ascii="Arial" w:hAnsi="Arial" w:cs="Arial"/>
          <w:sz w:val="24"/>
          <w:szCs w:val="24"/>
        </w:rPr>
        <w:t>seven</w:t>
      </w:r>
      <w:r w:rsidRPr="005807FA">
        <w:rPr>
          <w:rFonts w:ascii="Arial" w:hAnsi="Arial" w:cs="Arial"/>
          <w:sz w:val="24"/>
          <w:szCs w:val="24"/>
        </w:rPr>
        <w:t xml:space="preserve">-week consultation on the provisional local government settlement.  This will end on </w:t>
      </w:r>
      <w:r w:rsidR="007150BC">
        <w:rPr>
          <w:rFonts w:ascii="Arial" w:hAnsi="Arial" w:cs="Arial"/>
          <w:sz w:val="24"/>
          <w:szCs w:val="24"/>
        </w:rPr>
        <w:t>3</w:t>
      </w:r>
      <w:r w:rsidRPr="005807FA">
        <w:rPr>
          <w:rFonts w:ascii="Arial" w:hAnsi="Arial" w:cs="Arial"/>
          <w:sz w:val="24"/>
          <w:szCs w:val="24"/>
        </w:rPr>
        <w:t xml:space="preserve"> </w:t>
      </w:r>
      <w:r w:rsidR="007150BC">
        <w:rPr>
          <w:rFonts w:ascii="Arial" w:hAnsi="Arial" w:cs="Arial"/>
          <w:sz w:val="24"/>
          <w:szCs w:val="24"/>
        </w:rPr>
        <w:t>February 2020</w:t>
      </w:r>
      <w:r w:rsidRPr="005807FA">
        <w:rPr>
          <w:rFonts w:ascii="Arial" w:hAnsi="Arial" w:cs="Arial"/>
          <w:sz w:val="24"/>
          <w:szCs w:val="24"/>
        </w:rPr>
        <w:t>.</w:t>
      </w:r>
    </w:p>
    <w:p w14:paraId="0570E936" w14:textId="4F765566" w:rsidR="002B005C" w:rsidRDefault="002B005C" w:rsidP="005807FA">
      <w:pPr>
        <w:keepLines/>
        <w:rPr>
          <w:rFonts w:ascii="Arial" w:hAnsi="Arial" w:cs="Arial"/>
          <w:sz w:val="24"/>
          <w:szCs w:val="24"/>
        </w:rPr>
      </w:pPr>
    </w:p>
    <w:p w14:paraId="09B711D6" w14:textId="42DE2350" w:rsidR="002B005C" w:rsidRPr="002B005C" w:rsidRDefault="002B005C" w:rsidP="005807FA">
      <w:pPr>
        <w:keepLines/>
        <w:rPr>
          <w:rFonts w:ascii="Arial" w:hAnsi="Arial" w:cs="Arial"/>
          <w:color w:val="000000" w:themeColor="text1"/>
          <w:sz w:val="24"/>
          <w:szCs w:val="24"/>
        </w:rPr>
        <w:sectPr w:rsidR="002B005C" w:rsidRPr="002B005C" w:rsidSect="007D4A14">
          <w:footerReference w:type="even" r:id="rId12"/>
          <w:footerReference w:type="default" r:id="rId13"/>
          <w:headerReference w:type="first" r:id="rId14"/>
          <w:footerReference w:type="first" r:id="rId15"/>
          <w:pgSz w:w="11906" w:h="16838" w:code="9"/>
          <w:pgMar w:top="709" w:right="709" w:bottom="709" w:left="1418" w:header="720" w:footer="510" w:gutter="0"/>
          <w:cols w:space="720"/>
          <w:titlePg/>
        </w:sectPr>
      </w:pPr>
      <w:r w:rsidRPr="002B005C">
        <w:rPr>
          <w:rFonts w:ascii="Arial" w:hAnsi="Arial" w:cs="Arial"/>
          <w:color w:val="000000" w:themeColor="text1"/>
          <w:sz w:val="24"/>
          <w:szCs w:val="24"/>
        </w:rPr>
        <w:t>This statement is being issued during recess in order to keep members informed. Should members wish me to make a further statement or to answer questions on this when the Assembly returns I would be happy to do so.</w:t>
      </w:r>
    </w:p>
    <w:p w14:paraId="070F58E1" w14:textId="77777777" w:rsidR="005807FA" w:rsidRDefault="005807FA" w:rsidP="005807FA">
      <w:pPr>
        <w:keepLines/>
        <w:ind w:left="1134" w:hanging="1134"/>
        <w:rPr>
          <w:rFonts w:ascii="Arial" w:hAnsi="Arial" w:cs="Arial"/>
          <w:b/>
        </w:rPr>
      </w:pPr>
      <w:r>
        <w:rPr>
          <w:rFonts w:ascii="Arial" w:hAnsi="Arial" w:cs="Arial"/>
          <w:b/>
        </w:rPr>
        <w:lastRenderedPageBreak/>
        <w:t>SUMMARY TABLE</w:t>
      </w:r>
      <w:r w:rsidRPr="004C686D">
        <w:rPr>
          <w:rFonts w:ascii="Arial" w:hAnsi="Arial" w:cs="Arial"/>
          <w:b/>
        </w:rPr>
        <w:tab/>
      </w:r>
    </w:p>
    <w:p w14:paraId="72D16635" w14:textId="77777777" w:rsidR="005807FA" w:rsidRDefault="005807FA" w:rsidP="005807FA">
      <w:pPr>
        <w:rPr>
          <w:rFonts w:ascii="Arial" w:hAnsi="Arial" w:cs="Arial"/>
          <w:b/>
          <w:sz w:val="24"/>
          <w:szCs w:val="24"/>
        </w:rPr>
      </w:pPr>
      <w:r>
        <w:rPr>
          <w:rFonts w:ascii="Arial" w:hAnsi="Arial" w:cs="Arial"/>
          <w:b/>
          <w:sz w:val="24"/>
          <w:szCs w:val="24"/>
        </w:rPr>
        <w:t>2020-21</w:t>
      </w:r>
      <w:r w:rsidRPr="004E20AE">
        <w:rPr>
          <w:rFonts w:ascii="Arial" w:hAnsi="Arial" w:cs="Arial"/>
          <w:b/>
          <w:sz w:val="24"/>
          <w:szCs w:val="24"/>
        </w:rPr>
        <w:t xml:space="preserve"> provisional settlement – comparison of </w:t>
      </w:r>
      <w:r>
        <w:rPr>
          <w:rFonts w:ascii="Arial" w:hAnsi="Arial" w:cs="Arial"/>
          <w:b/>
          <w:sz w:val="24"/>
          <w:szCs w:val="24"/>
        </w:rPr>
        <w:t>2019-20</w:t>
      </w:r>
      <w:r w:rsidRPr="004E20AE">
        <w:rPr>
          <w:rFonts w:ascii="Arial" w:hAnsi="Arial" w:cs="Arial"/>
          <w:b/>
          <w:sz w:val="24"/>
          <w:szCs w:val="24"/>
        </w:rPr>
        <w:t xml:space="preserve"> AEF including </w:t>
      </w:r>
      <w:r>
        <w:rPr>
          <w:rFonts w:ascii="Arial" w:hAnsi="Arial" w:cs="Arial"/>
          <w:b/>
          <w:sz w:val="24"/>
          <w:szCs w:val="24"/>
        </w:rPr>
        <w:t>floor</w:t>
      </w:r>
      <w:r w:rsidRPr="004E20AE">
        <w:rPr>
          <w:rFonts w:ascii="Arial" w:hAnsi="Arial" w:cs="Arial"/>
          <w:b/>
          <w:sz w:val="24"/>
          <w:szCs w:val="24"/>
        </w:rPr>
        <w:t xml:space="preserve"> funding (adjusted for transfers) and the </w:t>
      </w:r>
      <w:r>
        <w:rPr>
          <w:rFonts w:ascii="Arial" w:hAnsi="Arial" w:cs="Arial"/>
          <w:b/>
          <w:sz w:val="24"/>
          <w:szCs w:val="24"/>
        </w:rPr>
        <w:t>2020-21</w:t>
      </w:r>
      <w:r w:rsidRPr="004E20AE">
        <w:rPr>
          <w:rFonts w:ascii="Arial" w:hAnsi="Arial" w:cs="Arial"/>
          <w:b/>
          <w:sz w:val="24"/>
          <w:szCs w:val="24"/>
        </w:rPr>
        <w:t xml:space="preserve"> provisional AEF, and distribution of the </w:t>
      </w:r>
      <w:r>
        <w:rPr>
          <w:rFonts w:ascii="Arial" w:hAnsi="Arial" w:cs="Arial"/>
          <w:b/>
          <w:sz w:val="24"/>
          <w:szCs w:val="24"/>
        </w:rPr>
        <w:t>2020-21</w:t>
      </w:r>
      <w:r w:rsidRPr="004E20AE">
        <w:rPr>
          <w:rFonts w:ascii="Arial" w:hAnsi="Arial" w:cs="Arial"/>
          <w:b/>
          <w:sz w:val="24"/>
          <w:szCs w:val="24"/>
        </w:rPr>
        <w:t xml:space="preserve"> Council Tax Reduction Schemes funding (distributed within AEF)</w:t>
      </w:r>
    </w:p>
    <w:tbl>
      <w:tblPr>
        <w:tblW w:w="11490" w:type="dxa"/>
        <w:tblLayout w:type="fixed"/>
        <w:tblCellMar>
          <w:left w:w="30" w:type="dxa"/>
          <w:right w:w="30" w:type="dxa"/>
        </w:tblCellMar>
        <w:tblLook w:val="0000" w:firstRow="0" w:lastRow="0" w:firstColumn="0" w:lastColumn="0" w:noHBand="0" w:noVBand="0"/>
      </w:tblPr>
      <w:tblGrid>
        <w:gridCol w:w="2455"/>
        <w:gridCol w:w="286"/>
        <w:gridCol w:w="1427"/>
        <w:gridCol w:w="287"/>
        <w:gridCol w:w="1067"/>
        <w:gridCol w:w="287"/>
        <w:gridCol w:w="1570"/>
        <w:gridCol w:w="286"/>
        <w:gridCol w:w="1337"/>
        <w:gridCol w:w="281"/>
        <w:gridCol w:w="572"/>
        <w:gridCol w:w="287"/>
        <w:gridCol w:w="1348"/>
      </w:tblGrid>
      <w:tr w:rsidR="005807FA" w:rsidRPr="004E20AE" w14:paraId="2B7AA5BC" w14:textId="77777777" w:rsidTr="004B3C88">
        <w:trPr>
          <w:trHeight w:val="259"/>
        </w:trPr>
        <w:tc>
          <w:tcPr>
            <w:tcW w:w="2455" w:type="dxa"/>
            <w:tcBorders>
              <w:bottom w:val="single" w:sz="4" w:space="0" w:color="auto"/>
            </w:tcBorders>
            <w:shd w:val="solid" w:color="FFFFFF" w:fill="auto"/>
          </w:tcPr>
          <w:p w14:paraId="664B017A" w14:textId="77777777" w:rsidR="005807FA" w:rsidRPr="004E20AE" w:rsidRDefault="005807FA" w:rsidP="004B3C88">
            <w:pPr>
              <w:autoSpaceDE w:val="0"/>
              <w:autoSpaceDN w:val="0"/>
              <w:adjustRightInd w:val="0"/>
              <w:jc w:val="right"/>
              <w:rPr>
                <w:rFonts w:ascii="Arial" w:hAnsi="Arial" w:cs="Arial"/>
                <w:sz w:val="20"/>
                <w:lang w:eastAsia="en-GB"/>
              </w:rPr>
            </w:pPr>
          </w:p>
        </w:tc>
        <w:tc>
          <w:tcPr>
            <w:tcW w:w="286" w:type="dxa"/>
            <w:tcBorders>
              <w:bottom w:val="single" w:sz="4" w:space="0" w:color="auto"/>
            </w:tcBorders>
            <w:shd w:val="solid" w:color="FFFFFF" w:fill="auto"/>
          </w:tcPr>
          <w:p w14:paraId="668499D5" w14:textId="77777777" w:rsidR="005807FA" w:rsidRPr="004E20AE" w:rsidRDefault="005807FA" w:rsidP="004B3C88">
            <w:pPr>
              <w:autoSpaceDE w:val="0"/>
              <w:autoSpaceDN w:val="0"/>
              <w:adjustRightInd w:val="0"/>
              <w:jc w:val="right"/>
              <w:rPr>
                <w:rFonts w:ascii="Arial" w:hAnsi="Arial" w:cs="Arial"/>
                <w:sz w:val="20"/>
                <w:lang w:eastAsia="en-GB"/>
              </w:rPr>
            </w:pPr>
          </w:p>
        </w:tc>
        <w:tc>
          <w:tcPr>
            <w:tcW w:w="1427" w:type="dxa"/>
            <w:tcBorders>
              <w:bottom w:val="single" w:sz="4" w:space="0" w:color="auto"/>
            </w:tcBorders>
            <w:shd w:val="solid" w:color="FFFFFF" w:fill="auto"/>
          </w:tcPr>
          <w:p w14:paraId="080E6B88" w14:textId="77777777" w:rsidR="005807FA" w:rsidRPr="004E20AE" w:rsidRDefault="005807FA" w:rsidP="004B3C88">
            <w:pPr>
              <w:autoSpaceDE w:val="0"/>
              <w:autoSpaceDN w:val="0"/>
              <w:adjustRightInd w:val="0"/>
              <w:jc w:val="right"/>
              <w:rPr>
                <w:rFonts w:ascii="Arial" w:hAnsi="Arial" w:cs="Arial"/>
                <w:sz w:val="20"/>
                <w:lang w:eastAsia="en-GB"/>
              </w:rPr>
            </w:pPr>
          </w:p>
        </w:tc>
        <w:tc>
          <w:tcPr>
            <w:tcW w:w="287" w:type="dxa"/>
            <w:tcBorders>
              <w:bottom w:val="single" w:sz="4" w:space="0" w:color="auto"/>
            </w:tcBorders>
            <w:shd w:val="solid" w:color="FFFFFF" w:fill="auto"/>
          </w:tcPr>
          <w:p w14:paraId="2C3FEA25" w14:textId="77777777" w:rsidR="005807FA" w:rsidRPr="004E20AE" w:rsidRDefault="005807FA" w:rsidP="004B3C88">
            <w:pPr>
              <w:autoSpaceDE w:val="0"/>
              <w:autoSpaceDN w:val="0"/>
              <w:adjustRightInd w:val="0"/>
              <w:jc w:val="right"/>
              <w:rPr>
                <w:rFonts w:ascii="Arial" w:hAnsi="Arial" w:cs="Arial"/>
                <w:sz w:val="20"/>
                <w:lang w:eastAsia="en-GB"/>
              </w:rPr>
            </w:pPr>
          </w:p>
        </w:tc>
        <w:tc>
          <w:tcPr>
            <w:tcW w:w="1067" w:type="dxa"/>
            <w:tcBorders>
              <w:bottom w:val="single" w:sz="4" w:space="0" w:color="auto"/>
            </w:tcBorders>
            <w:shd w:val="solid" w:color="FFFFFF" w:fill="auto"/>
          </w:tcPr>
          <w:p w14:paraId="2B064796" w14:textId="77777777" w:rsidR="005807FA" w:rsidRPr="004E20AE" w:rsidRDefault="005807FA" w:rsidP="004B3C88">
            <w:pPr>
              <w:autoSpaceDE w:val="0"/>
              <w:autoSpaceDN w:val="0"/>
              <w:adjustRightInd w:val="0"/>
              <w:jc w:val="right"/>
              <w:rPr>
                <w:rFonts w:ascii="Arial" w:hAnsi="Arial" w:cs="Arial"/>
                <w:sz w:val="20"/>
                <w:lang w:eastAsia="en-GB"/>
              </w:rPr>
            </w:pPr>
          </w:p>
        </w:tc>
        <w:tc>
          <w:tcPr>
            <w:tcW w:w="287" w:type="dxa"/>
            <w:tcBorders>
              <w:bottom w:val="single" w:sz="4" w:space="0" w:color="auto"/>
            </w:tcBorders>
            <w:shd w:val="solid" w:color="FFFFFF" w:fill="auto"/>
          </w:tcPr>
          <w:p w14:paraId="2AF51D89" w14:textId="77777777" w:rsidR="005807FA" w:rsidRPr="004E20AE" w:rsidRDefault="005807FA" w:rsidP="004B3C88">
            <w:pPr>
              <w:autoSpaceDE w:val="0"/>
              <w:autoSpaceDN w:val="0"/>
              <w:adjustRightInd w:val="0"/>
              <w:jc w:val="right"/>
              <w:rPr>
                <w:rFonts w:ascii="Arial" w:hAnsi="Arial" w:cs="Arial"/>
                <w:sz w:val="20"/>
                <w:lang w:eastAsia="en-GB"/>
              </w:rPr>
            </w:pPr>
          </w:p>
        </w:tc>
        <w:tc>
          <w:tcPr>
            <w:tcW w:w="1570" w:type="dxa"/>
            <w:tcBorders>
              <w:bottom w:val="single" w:sz="4" w:space="0" w:color="auto"/>
            </w:tcBorders>
            <w:shd w:val="solid" w:color="FFFFFF" w:fill="auto"/>
          </w:tcPr>
          <w:p w14:paraId="187AD4A8" w14:textId="77777777" w:rsidR="005807FA" w:rsidRPr="004E20AE" w:rsidRDefault="005807FA" w:rsidP="004B3C88">
            <w:pPr>
              <w:autoSpaceDE w:val="0"/>
              <w:autoSpaceDN w:val="0"/>
              <w:adjustRightInd w:val="0"/>
              <w:jc w:val="right"/>
              <w:rPr>
                <w:rFonts w:ascii="Arial" w:hAnsi="Arial" w:cs="Arial"/>
                <w:sz w:val="20"/>
                <w:lang w:eastAsia="en-GB"/>
              </w:rPr>
            </w:pPr>
          </w:p>
        </w:tc>
        <w:tc>
          <w:tcPr>
            <w:tcW w:w="286" w:type="dxa"/>
            <w:tcBorders>
              <w:bottom w:val="single" w:sz="4" w:space="0" w:color="auto"/>
            </w:tcBorders>
            <w:shd w:val="solid" w:color="FFFFFF" w:fill="auto"/>
          </w:tcPr>
          <w:p w14:paraId="3B3CFA3D" w14:textId="77777777" w:rsidR="005807FA" w:rsidRPr="004E20AE" w:rsidRDefault="005807FA" w:rsidP="004B3C88">
            <w:pPr>
              <w:autoSpaceDE w:val="0"/>
              <w:autoSpaceDN w:val="0"/>
              <w:adjustRightInd w:val="0"/>
              <w:jc w:val="right"/>
              <w:rPr>
                <w:rFonts w:ascii="Arial" w:hAnsi="Arial" w:cs="Arial"/>
                <w:sz w:val="20"/>
                <w:lang w:eastAsia="en-GB"/>
              </w:rPr>
            </w:pPr>
          </w:p>
        </w:tc>
        <w:tc>
          <w:tcPr>
            <w:tcW w:w="1337" w:type="dxa"/>
            <w:tcBorders>
              <w:bottom w:val="single" w:sz="4" w:space="0" w:color="auto"/>
            </w:tcBorders>
            <w:shd w:val="solid" w:color="FFFFFF" w:fill="auto"/>
          </w:tcPr>
          <w:p w14:paraId="2D58BB65" w14:textId="77777777" w:rsidR="005807FA" w:rsidRPr="004E20AE" w:rsidRDefault="005807FA" w:rsidP="004B3C88">
            <w:pPr>
              <w:autoSpaceDE w:val="0"/>
              <w:autoSpaceDN w:val="0"/>
              <w:adjustRightInd w:val="0"/>
              <w:jc w:val="right"/>
              <w:rPr>
                <w:rFonts w:ascii="Arial" w:hAnsi="Arial" w:cs="Arial"/>
                <w:sz w:val="20"/>
                <w:lang w:eastAsia="en-GB"/>
              </w:rPr>
            </w:pPr>
          </w:p>
        </w:tc>
        <w:tc>
          <w:tcPr>
            <w:tcW w:w="281" w:type="dxa"/>
            <w:tcBorders>
              <w:bottom w:val="single" w:sz="4" w:space="0" w:color="auto"/>
            </w:tcBorders>
            <w:shd w:val="solid" w:color="FFFFFF" w:fill="auto"/>
          </w:tcPr>
          <w:p w14:paraId="4019E53D" w14:textId="77777777" w:rsidR="005807FA" w:rsidRPr="004E20AE" w:rsidRDefault="005807FA" w:rsidP="004B3C88">
            <w:pPr>
              <w:autoSpaceDE w:val="0"/>
              <w:autoSpaceDN w:val="0"/>
              <w:adjustRightInd w:val="0"/>
              <w:jc w:val="right"/>
              <w:rPr>
                <w:rFonts w:ascii="Arial" w:hAnsi="Arial" w:cs="Arial"/>
                <w:b/>
                <w:bCs/>
                <w:i/>
                <w:iCs/>
                <w:sz w:val="20"/>
                <w:lang w:eastAsia="en-GB"/>
              </w:rPr>
            </w:pPr>
          </w:p>
        </w:tc>
        <w:tc>
          <w:tcPr>
            <w:tcW w:w="572" w:type="dxa"/>
            <w:tcBorders>
              <w:bottom w:val="single" w:sz="4" w:space="0" w:color="auto"/>
            </w:tcBorders>
            <w:shd w:val="solid" w:color="FFFFFF" w:fill="auto"/>
          </w:tcPr>
          <w:p w14:paraId="3C7C1CF1" w14:textId="77777777" w:rsidR="005807FA" w:rsidRPr="004E20AE" w:rsidRDefault="005807FA" w:rsidP="004B3C88">
            <w:pPr>
              <w:autoSpaceDE w:val="0"/>
              <w:autoSpaceDN w:val="0"/>
              <w:adjustRightInd w:val="0"/>
              <w:jc w:val="right"/>
              <w:rPr>
                <w:rFonts w:ascii="Arial" w:hAnsi="Arial" w:cs="Arial"/>
                <w:b/>
                <w:bCs/>
                <w:i/>
                <w:iCs/>
                <w:sz w:val="20"/>
                <w:lang w:eastAsia="en-GB"/>
              </w:rPr>
            </w:pPr>
          </w:p>
        </w:tc>
        <w:tc>
          <w:tcPr>
            <w:tcW w:w="287" w:type="dxa"/>
            <w:tcBorders>
              <w:bottom w:val="single" w:sz="4" w:space="0" w:color="auto"/>
            </w:tcBorders>
            <w:shd w:val="solid" w:color="FFFFFF" w:fill="auto"/>
          </w:tcPr>
          <w:p w14:paraId="006F23D8" w14:textId="77777777" w:rsidR="005807FA" w:rsidRPr="004E20AE" w:rsidRDefault="005807FA" w:rsidP="004B3C88">
            <w:pPr>
              <w:autoSpaceDE w:val="0"/>
              <w:autoSpaceDN w:val="0"/>
              <w:adjustRightInd w:val="0"/>
              <w:jc w:val="right"/>
              <w:rPr>
                <w:rFonts w:ascii="Arial" w:hAnsi="Arial" w:cs="Arial"/>
                <w:b/>
                <w:bCs/>
                <w:i/>
                <w:iCs/>
                <w:sz w:val="20"/>
                <w:lang w:eastAsia="en-GB"/>
              </w:rPr>
            </w:pPr>
          </w:p>
        </w:tc>
        <w:tc>
          <w:tcPr>
            <w:tcW w:w="1348" w:type="dxa"/>
            <w:tcBorders>
              <w:bottom w:val="single" w:sz="4" w:space="0" w:color="auto"/>
            </w:tcBorders>
            <w:shd w:val="solid" w:color="FFFFFF" w:fill="auto"/>
          </w:tcPr>
          <w:p w14:paraId="42BEC439" w14:textId="77777777" w:rsidR="005807FA" w:rsidRPr="004E20AE" w:rsidRDefault="005807FA" w:rsidP="004B3C88">
            <w:pPr>
              <w:autoSpaceDE w:val="0"/>
              <w:autoSpaceDN w:val="0"/>
              <w:adjustRightInd w:val="0"/>
              <w:jc w:val="right"/>
              <w:rPr>
                <w:rFonts w:ascii="Arial" w:hAnsi="Arial" w:cs="Arial"/>
                <w:b/>
                <w:bCs/>
                <w:i/>
                <w:iCs/>
                <w:sz w:val="20"/>
                <w:lang w:eastAsia="en-GB"/>
              </w:rPr>
            </w:pPr>
            <w:r w:rsidRPr="004E20AE">
              <w:rPr>
                <w:rFonts w:ascii="Arial" w:hAnsi="Arial" w:cs="Arial"/>
                <w:b/>
                <w:bCs/>
                <w:i/>
                <w:iCs/>
                <w:sz w:val="20"/>
                <w:lang w:eastAsia="en-GB"/>
              </w:rPr>
              <w:t>£000s</w:t>
            </w:r>
          </w:p>
        </w:tc>
      </w:tr>
      <w:tr w:rsidR="005807FA" w:rsidRPr="004E20AE" w14:paraId="27C5DC2C" w14:textId="77777777" w:rsidTr="004B3C88">
        <w:trPr>
          <w:trHeight w:val="678"/>
        </w:trPr>
        <w:tc>
          <w:tcPr>
            <w:tcW w:w="2455" w:type="dxa"/>
            <w:tcBorders>
              <w:top w:val="single" w:sz="4" w:space="0" w:color="auto"/>
              <w:bottom w:val="single" w:sz="4" w:space="0" w:color="auto"/>
            </w:tcBorders>
            <w:shd w:val="solid" w:color="FFFFFF" w:fill="auto"/>
            <w:vAlign w:val="center"/>
          </w:tcPr>
          <w:p w14:paraId="1B34F93D" w14:textId="77777777" w:rsidR="005807FA" w:rsidRPr="004E20AE" w:rsidRDefault="005807FA" w:rsidP="004B3C88">
            <w:pPr>
              <w:autoSpaceDE w:val="0"/>
              <w:autoSpaceDN w:val="0"/>
              <w:adjustRightInd w:val="0"/>
              <w:rPr>
                <w:rFonts w:ascii="Arial" w:hAnsi="Arial" w:cs="Arial"/>
                <w:b/>
                <w:sz w:val="20"/>
                <w:lang w:eastAsia="en-GB"/>
              </w:rPr>
            </w:pPr>
          </w:p>
          <w:p w14:paraId="5A4A47C4" w14:textId="77777777" w:rsidR="005807FA" w:rsidRPr="004E20AE" w:rsidRDefault="005807FA" w:rsidP="004B3C88">
            <w:pPr>
              <w:autoSpaceDE w:val="0"/>
              <w:autoSpaceDN w:val="0"/>
              <w:adjustRightInd w:val="0"/>
              <w:rPr>
                <w:rFonts w:ascii="Arial" w:hAnsi="Arial" w:cs="Arial"/>
                <w:b/>
                <w:sz w:val="20"/>
                <w:lang w:eastAsia="en-GB"/>
              </w:rPr>
            </w:pPr>
            <w:r w:rsidRPr="004E20AE">
              <w:rPr>
                <w:rFonts w:ascii="Arial" w:hAnsi="Arial" w:cs="Arial"/>
                <w:b/>
                <w:sz w:val="20"/>
                <w:lang w:eastAsia="en-GB"/>
              </w:rPr>
              <w:t>Unitary authority</w:t>
            </w:r>
          </w:p>
        </w:tc>
        <w:tc>
          <w:tcPr>
            <w:tcW w:w="286" w:type="dxa"/>
            <w:tcBorders>
              <w:top w:val="single" w:sz="4" w:space="0" w:color="auto"/>
            </w:tcBorders>
            <w:shd w:val="solid" w:color="FFFFFF" w:fill="auto"/>
            <w:vAlign w:val="center"/>
          </w:tcPr>
          <w:p w14:paraId="6EB0034A" w14:textId="77777777" w:rsidR="005807FA" w:rsidRPr="004E20AE" w:rsidRDefault="005807FA" w:rsidP="004B3C88">
            <w:pPr>
              <w:autoSpaceDE w:val="0"/>
              <w:autoSpaceDN w:val="0"/>
              <w:adjustRightInd w:val="0"/>
              <w:jc w:val="center"/>
              <w:rPr>
                <w:rFonts w:ascii="Arial" w:hAnsi="Arial" w:cs="Arial"/>
                <w:b/>
                <w:sz w:val="20"/>
                <w:lang w:eastAsia="en-GB"/>
              </w:rPr>
            </w:pPr>
          </w:p>
        </w:tc>
        <w:tc>
          <w:tcPr>
            <w:tcW w:w="1427" w:type="dxa"/>
            <w:tcBorders>
              <w:top w:val="single" w:sz="4" w:space="0" w:color="auto"/>
              <w:bottom w:val="single" w:sz="4" w:space="0" w:color="auto"/>
            </w:tcBorders>
            <w:shd w:val="solid" w:color="FFFFFF" w:fill="auto"/>
            <w:vAlign w:val="center"/>
          </w:tcPr>
          <w:p w14:paraId="717B2CF5" w14:textId="77777777" w:rsidR="005807FA" w:rsidRPr="004E20AE" w:rsidRDefault="005807FA" w:rsidP="004B3C88">
            <w:pPr>
              <w:autoSpaceDE w:val="0"/>
              <w:autoSpaceDN w:val="0"/>
              <w:adjustRightInd w:val="0"/>
              <w:jc w:val="center"/>
              <w:rPr>
                <w:rFonts w:ascii="Arial" w:hAnsi="Arial" w:cs="Arial"/>
                <w:b/>
                <w:sz w:val="20"/>
                <w:lang w:eastAsia="en-GB"/>
              </w:rPr>
            </w:pPr>
            <w:r>
              <w:rPr>
                <w:rFonts w:ascii="Arial" w:hAnsi="Arial" w:cs="Arial"/>
                <w:b/>
                <w:sz w:val="20"/>
                <w:lang w:eastAsia="en-GB"/>
              </w:rPr>
              <w:t>2019-20</w:t>
            </w:r>
          </w:p>
          <w:p w14:paraId="1D78B59B" w14:textId="77777777" w:rsidR="005807FA" w:rsidRPr="004E20AE" w:rsidRDefault="005807FA" w:rsidP="004B3C88">
            <w:pPr>
              <w:autoSpaceDE w:val="0"/>
              <w:autoSpaceDN w:val="0"/>
              <w:adjustRightInd w:val="0"/>
              <w:jc w:val="center"/>
              <w:rPr>
                <w:rFonts w:ascii="Arial" w:hAnsi="Arial" w:cs="Arial"/>
                <w:b/>
                <w:sz w:val="20"/>
                <w:lang w:eastAsia="en-GB"/>
              </w:rPr>
            </w:pPr>
            <w:r w:rsidRPr="004E20AE">
              <w:rPr>
                <w:rFonts w:ascii="Arial" w:hAnsi="Arial" w:cs="Arial"/>
                <w:b/>
                <w:sz w:val="20"/>
                <w:lang w:eastAsia="en-GB"/>
              </w:rPr>
              <w:t xml:space="preserve">adjusted AEF plus </w:t>
            </w:r>
            <w:r>
              <w:rPr>
                <w:rFonts w:ascii="Arial" w:hAnsi="Arial" w:cs="Arial"/>
                <w:b/>
                <w:sz w:val="20"/>
                <w:lang w:eastAsia="en-GB"/>
              </w:rPr>
              <w:t>floor</w:t>
            </w:r>
            <w:r w:rsidRPr="004E20AE">
              <w:rPr>
                <w:rFonts w:ascii="Arial" w:hAnsi="Arial" w:cs="Arial"/>
                <w:b/>
                <w:sz w:val="20"/>
                <w:lang w:eastAsia="en-GB"/>
              </w:rPr>
              <w:t xml:space="preserve"> funding</w:t>
            </w:r>
            <w:r w:rsidRPr="004E20AE">
              <w:rPr>
                <w:rFonts w:ascii="Arial" w:hAnsi="Arial" w:cs="Arial"/>
                <w:b/>
                <w:sz w:val="20"/>
                <w:vertAlign w:val="superscript"/>
                <w:lang w:eastAsia="en-GB"/>
              </w:rPr>
              <w:t>1</w:t>
            </w:r>
          </w:p>
        </w:tc>
        <w:tc>
          <w:tcPr>
            <w:tcW w:w="287" w:type="dxa"/>
            <w:tcBorders>
              <w:top w:val="single" w:sz="4" w:space="0" w:color="auto"/>
            </w:tcBorders>
            <w:shd w:val="solid" w:color="FFFFFF" w:fill="auto"/>
            <w:vAlign w:val="center"/>
          </w:tcPr>
          <w:p w14:paraId="3ADBC5DD" w14:textId="77777777" w:rsidR="005807FA" w:rsidRPr="004E20AE" w:rsidRDefault="005807FA" w:rsidP="004B3C88">
            <w:pPr>
              <w:autoSpaceDE w:val="0"/>
              <w:autoSpaceDN w:val="0"/>
              <w:adjustRightInd w:val="0"/>
              <w:jc w:val="center"/>
              <w:rPr>
                <w:rFonts w:ascii="Arial" w:hAnsi="Arial" w:cs="Arial"/>
                <w:b/>
                <w:sz w:val="20"/>
                <w:lang w:eastAsia="en-GB"/>
              </w:rPr>
            </w:pPr>
          </w:p>
        </w:tc>
        <w:tc>
          <w:tcPr>
            <w:tcW w:w="1067" w:type="dxa"/>
            <w:tcBorders>
              <w:top w:val="single" w:sz="4" w:space="0" w:color="auto"/>
              <w:bottom w:val="single" w:sz="4" w:space="0" w:color="auto"/>
            </w:tcBorders>
            <w:shd w:val="solid" w:color="FFFFFF" w:fill="auto"/>
            <w:vAlign w:val="center"/>
          </w:tcPr>
          <w:p w14:paraId="1C427EDD" w14:textId="77777777" w:rsidR="005807FA" w:rsidRPr="004E20AE" w:rsidRDefault="005807FA" w:rsidP="004B3C88">
            <w:pPr>
              <w:autoSpaceDE w:val="0"/>
              <w:autoSpaceDN w:val="0"/>
              <w:adjustRightInd w:val="0"/>
              <w:jc w:val="center"/>
              <w:rPr>
                <w:rFonts w:ascii="Arial" w:hAnsi="Arial" w:cs="Arial"/>
                <w:b/>
                <w:sz w:val="20"/>
                <w:lang w:eastAsia="en-GB"/>
              </w:rPr>
            </w:pPr>
            <w:r w:rsidRPr="004E20AE">
              <w:rPr>
                <w:rFonts w:ascii="Arial" w:hAnsi="Arial" w:cs="Arial"/>
                <w:b/>
                <w:sz w:val="20"/>
                <w:lang w:eastAsia="en-GB"/>
              </w:rPr>
              <w:t xml:space="preserve">Of which </w:t>
            </w:r>
            <w:r>
              <w:rPr>
                <w:rFonts w:ascii="Arial" w:hAnsi="Arial" w:cs="Arial"/>
                <w:b/>
                <w:sz w:val="20"/>
                <w:lang w:eastAsia="en-GB"/>
              </w:rPr>
              <w:t>floor</w:t>
            </w:r>
            <w:r w:rsidRPr="004E20AE">
              <w:rPr>
                <w:rFonts w:ascii="Arial" w:hAnsi="Arial" w:cs="Arial"/>
                <w:b/>
                <w:sz w:val="20"/>
                <w:lang w:eastAsia="en-GB"/>
              </w:rPr>
              <w:t xml:space="preserve"> funding</w:t>
            </w:r>
          </w:p>
        </w:tc>
        <w:tc>
          <w:tcPr>
            <w:tcW w:w="287" w:type="dxa"/>
            <w:tcBorders>
              <w:top w:val="single" w:sz="4" w:space="0" w:color="auto"/>
            </w:tcBorders>
            <w:shd w:val="solid" w:color="FFFFFF" w:fill="auto"/>
            <w:vAlign w:val="center"/>
          </w:tcPr>
          <w:p w14:paraId="3E099404" w14:textId="77777777" w:rsidR="005807FA" w:rsidRPr="004E20AE" w:rsidRDefault="005807FA" w:rsidP="004B3C88">
            <w:pPr>
              <w:autoSpaceDE w:val="0"/>
              <w:autoSpaceDN w:val="0"/>
              <w:adjustRightInd w:val="0"/>
              <w:jc w:val="center"/>
              <w:rPr>
                <w:rFonts w:ascii="Arial" w:hAnsi="Arial" w:cs="Arial"/>
                <w:b/>
                <w:sz w:val="20"/>
                <w:lang w:eastAsia="en-GB"/>
              </w:rPr>
            </w:pPr>
          </w:p>
        </w:tc>
        <w:tc>
          <w:tcPr>
            <w:tcW w:w="1570" w:type="dxa"/>
            <w:tcBorders>
              <w:top w:val="single" w:sz="4" w:space="0" w:color="auto"/>
              <w:bottom w:val="single" w:sz="4" w:space="0" w:color="auto"/>
            </w:tcBorders>
            <w:shd w:val="solid" w:color="FFFFFF" w:fill="auto"/>
            <w:vAlign w:val="center"/>
          </w:tcPr>
          <w:p w14:paraId="10802BFB" w14:textId="77777777" w:rsidR="005807FA" w:rsidRPr="004E20AE" w:rsidRDefault="005807FA" w:rsidP="004B3C88">
            <w:pPr>
              <w:autoSpaceDE w:val="0"/>
              <w:autoSpaceDN w:val="0"/>
              <w:adjustRightInd w:val="0"/>
              <w:jc w:val="center"/>
              <w:rPr>
                <w:rFonts w:ascii="Arial" w:hAnsi="Arial" w:cs="Arial"/>
                <w:b/>
                <w:sz w:val="20"/>
                <w:lang w:eastAsia="en-GB"/>
              </w:rPr>
            </w:pPr>
            <w:r>
              <w:rPr>
                <w:rFonts w:ascii="Arial" w:hAnsi="Arial" w:cs="Arial"/>
                <w:b/>
                <w:sz w:val="20"/>
                <w:lang w:eastAsia="en-GB"/>
              </w:rPr>
              <w:t>2020-21</w:t>
            </w:r>
            <w:r w:rsidRPr="004E20AE">
              <w:rPr>
                <w:rFonts w:ascii="Arial" w:hAnsi="Arial" w:cs="Arial"/>
                <w:b/>
                <w:sz w:val="20"/>
                <w:lang w:eastAsia="en-GB"/>
              </w:rPr>
              <w:t xml:space="preserve"> provisional AEF</w:t>
            </w:r>
          </w:p>
        </w:tc>
        <w:tc>
          <w:tcPr>
            <w:tcW w:w="286" w:type="dxa"/>
            <w:tcBorders>
              <w:top w:val="single" w:sz="4" w:space="0" w:color="auto"/>
            </w:tcBorders>
            <w:shd w:val="solid" w:color="FFFFFF" w:fill="auto"/>
            <w:vAlign w:val="center"/>
          </w:tcPr>
          <w:p w14:paraId="2023FD73" w14:textId="77777777" w:rsidR="005807FA" w:rsidRPr="004E20AE" w:rsidRDefault="005807FA" w:rsidP="004B3C88">
            <w:pPr>
              <w:autoSpaceDE w:val="0"/>
              <w:autoSpaceDN w:val="0"/>
              <w:adjustRightInd w:val="0"/>
              <w:jc w:val="center"/>
              <w:rPr>
                <w:rFonts w:ascii="Arial" w:hAnsi="Arial" w:cs="Arial"/>
                <w:b/>
                <w:sz w:val="20"/>
                <w:lang w:eastAsia="en-GB"/>
              </w:rPr>
            </w:pPr>
          </w:p>
        </w:tc>
        <w:tc>
          <w:tcPr>
            <w:tcW w:w="1337" w:type="dxa"/>
            <w:tcBorders>
              <w:top w:val="single" w:sz="4" w:space="0" w:color="auto"/>
              <w:bottom w:val="single" w:sz="4" w:space="0" w:color="auto"/>
            </w:tcBorders>
            <w:shd w:val="solid" w:color="FFFFFF" w:fill="auto"/>
            <w:vAlign w:val="center"/>
          </w:tcPr>
          <w:p w14:paraId="1FBEE046" w14:textId="77777777" w:rsidR="005807FA" w:rsidRPr="004E20AE" w:rsidRDefault="005807FA" w:rsidP="004B3C88">
            <w:pPr>
              <w:autoSpaceDE w:val="0"/>
              <w:autoSpaceDN w:val="0"/>
              <w:adjustRightInd w:val="0"/>
              <w:jc w:val="center"/>
              <w:rPr>
                <w:rFonts w:ascii="Arial" w:hAnsi="Arial" w:cs="Arial"/>
                <w:b/>
                <w:sz w:val="20"/>
                <w:lang w:eastAsia="en-GB"/>
              </w:rPr>
            </w:pPr>
            <w:r w:rsidRPr="004E20AE">
              <w:rPr>
                <w:rFonts w:ascii="Arial" w:hAnsi="Arial" w:cs="Arial"/>
                <w:b/>
                <w:sz w:val="20"/>
                <w:lang w:eastAsia="en-GB"/>
              </w:rPr>
              <w:t xml:space="preserve">% change on adjusted </w:t>
            </w:r>
            <w:r>
              <w:rPr>
                <w:rFonts w:ascii="Arial" w:hAnsi="Arial" w:cs="Arial"/>
                <w:b/>
                <w:sz w:val="20"/>
                <w:lang w:eastAsia="en-GB"/>
              </w:rPr>
              <w:t>2019-20</w:t>
            </w:r>
            <w:r w:rsidRPr="004E20AE">
              <w:rPr>
                <w:rFonts w:ascii="Arial" w:hAnsi="Arial" w:cs="Arial"/>
                <w:b/>
                <w:sz w:val="20"/>
                <w:lang w:eastAsia="en-GB"/>
              </w:rPr>
              <w:t xml:space="preserve"> AEF plus </w:t>
            </w:r>
            <w:r>
              <w:rPr>
                <w:rFonts w:ascii="Arial" w:hAnsi="Arial" w:cs="Arial"/>
                <w:b/>
                <w:sz w:val="20"/>
                <w:lang w:eastAsia="en-GB"/>
              </w:rPr>
              <w:t>floor</w:t>
            </w:r>
            <w:r w:rsidRPr="004E20AE">
              <w:rPr>
                <w:rFonts w:ascii="Arial" w:hAnsi="Arial" w:cs="Arial"/>
                <w:b/>
                <w:sz w:val="20"/>
                <w:lang w:eastAsia="en-GB"/>
              </w:rPr>
              <w:t xml:space="preserve"> funding</w:t>
            </w:r>
          </w:p>
        </w:tc>
        <w:tc>
          <w:tcPr>
            <w:tcW w:w="281" w:type="dxa"/>
            <w:tcBorders>
              <w:top w:val="single" w:sz="4" w:space="0" w:color="auto"/>
            </w:tcBorders>
            <w:shd w:val="solid" w:color="FFFFFF" w:fill="auto"/>
            <w:vAlign w:val="center"/>
          </w:tcPr>
          <w:p w14:paraId="78AE9972" w14:textId="77777777" w:rsidR="005807FA" w:rsidRPr="004E20AE" w:rsidRDefault="005807FA" w:rsidP="004B3C88">
            <w:pPr>
              <w:autoSpaceDE w:val="0"/>
              <w:autoSpaceDN w:val="0"/>
              <w:adjustRightInd w:val="0"/>
              <w:jc w:val="center"/>
              <w:rPr>
                <w:rFonts w:ascii="Arial" w:hAnsi="Arial" w:cs="Arial"/>
                <w:b/>
                <w:sz w:val="20"/>
                <w:lang w:eastAsia="en-GB"/>
              </w:rPr>
            </w:pPr>
          </w:p>
        </w:tc>
        <w:tc>
          <w:tcPr>
            <w:tcW w:w="572" w:type="dxa"/>
            <w:tcBorders>
              <w:top w:val="single" w:sz="4" w:space="0" w:color="auto"/>
              <w:bottom w:val="single" w:sz="4" w:space="0" w:color="auto"/>
            </w:tcBorders>
            <w:shd w:val="solid" w:color="FFFFFF" w:fill="auto"/>
            <w:vAlign w:val="center"/>
          </w:tcPr>
          <w:p w14:paraId="5D419735" w14:textId="77777777" w:rsidR="005807FA" w:rsidRPr="004E20AE" w:rsidRDefault="005807FA" w:rsidP="004B3C88">
            <w:pPr>
              <w:autoSpaceDE w:val="0"/>
              <w:autoSpaceDN w:val="0"/>
              <w:adjustRightInd w:val="0"/>
              <w:jc w:val="center"/>
              <w:rPr>
                <w:rFonts w:ascii="Arial" w:hAnsi="Arial" w:cs="Arial"/>
                <w:b/>
                <w:sz w:val="20"/>
                <w:lang w:eastAsia="en-GB"/>
              </w:rPr>
            </w:pPr>
            <w:r w:rsidRPr="004E20AE">
              <w:rPr>
                <w:rFonts w:ascii="Arial" w:hAnsi="Arial" w:cs="Arial"/>
                <w:b/>
                <w:sz w:val="20"/>
                <w:lang w:eastAsia="en-GB"/>
              </w:rPr>
              <w:t>Rank</w:t>
            </w:r>
          </w:p>
        </w:tc>
        <w:tc>
          <w:tcPr>
            <w:tcW w:w="287" w:type="dxa"/>
            <w:tcBorders>
              <w:top w:val="single" w:sz="4" w:space="0" w:color="auto"/>
            </w:tcBorders>
            <w:shd w:val="solid" w:color="FFFFFF" w:fill="auto"/>
            <w:vAlign w:val="center"/>
          </w:tcPr>
          <w:p w14:paraId="3852C291" w14:textId="77777777" w:rsidR="005807FA" w:rsidRPr="004E20AE" w:rsidRDefault="005807FA" w:rsidP="004B3C88">
            <w:pPr>
              <w:autoSpaceDE w:val="0"/>
              <w:autoSpaceDN w:val="0"/>
              <w:adjustRightInd w:val="0"/>
              <w:jc w:val="center"/>
              <w:rPr>
                <w:rFonts w:ascii="Arial" w:hAnsi="Arial" w:cs="Arial"/>
                <w:b/>
                <w:sz w:val="20"/>
                <w:lang w:eastAsia="en-GB"/>
              </w:rPr>
            </w:pPr>
          </w:p>
        </w:tc>
        <w:tc>
          <w:tcPr>
            <w:tcW w:w="1348" w:type="dxa"/>
            <w:tcBorders>
              <w:top w:val="single" w:sz="4" w:space="0" w:color="auto"/>
              <w:bottom w:val="single" w:sz="4" w:space="0" w:color="auto"/>
            </w:tcBorders>
            <w:shd w:val="solid" w:color="FFFFFF" w:fill="auto"/>
            <w:vAlign w:val="center"/>
          </w:tcPr>
          <w:p w14:paraId="59FF073F" w14:textId="77777777" w:rsidR="005807FA" w:rsidRPr="004E20AE" w:rsidRDefault="005807FA" w:rsidP="004B3C88">
            <w:pPr>
              <w:autoSpaceDE w:val="0"/>
              <w:autoSpaceDN w:val="0"/>
              <w:adjustRightInd w:val="0"/>
              <w:jc w:val="center"/>
              <w:rPr>
                <w:rFonts w:ascii="Arial" w:hAnsi="Arial" w:cs="Arial"/>
                <w:b/>
                <w:sz w:val="20"/>
                <w:lang w:eastAsia="en-GB"/>
              </w:rPr>
            </w:pPr>
            <w:r w:rsidRPr="004E20AE">
              <w:rPr>
                <w:rFonts w:ascii="Arial" w:hAnsi="Arial" w:cs="Arial"/>
                <w:b/>
                <w:sz w:val="20"/>
                <w:lang w:eastAsia="en-GB"/>
              </w:rPr>
              <w:t>Council Tax Reduction Schemes (within AEF)</w:t>
            </w:r>
          </w:p>
        </w:tc>
      </w:tr>
      <w:tr w:rsidR="005807FA" w:rsidRPr="004E20AE" w14:paraId="49EF7360" w14:textId="77777777" w:rsidTr="004B3C88">
        <w:trPr>
          <w:trHeight w:val="411"/>
        </w:trPr>
        <w:tc>
          <w:tcPr>
            <w:tcW w:w="2455" w:type="dxa"/>
            <w:shd w:val="solid" w:color="FFFFFF" w:fill="auto"/>
            <w:vAlign w:val="bottom"/>
          </w:tcPr>
          <w:p w14:paraId="6C9C471E"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Isle of Anglesey</w:t>
            </w:r>
          </w:p>
        </w:tc>
        <w:tc>
          <w:tcPr>
            <w:tcW w:w="286" w:type="dxa"/>
            <w:shd w:val="solid" w:color="FFFFFF" w:fill="auto"/>
            <w:vAlign w:val="bottom"/>
          </w:tcPr>
          <w:p w14:paraId="42614083"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27F4A9BF"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97,324</w:t>
            </w:r>
          </w:p>
        </w:tc>
        <w:tc>
          <w:tcPr>
            <w:tcW w:w="287" w:type="dxa"/>
            <w:shd w:val="solid" w:color="FFFFFF" w:fill="auto"/>
            <w:vAlign w:val="bottom"/>
          </w:tcPr>
          <w:p w14:paraId="7020DB27"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37844E0C"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269</w:t>
            </w:r>
          </w:p>
        </w:tc>
        <w:tc>
          <w:tcPr>
            <w:tcW w:w="287" w:type="dxa"/>
            <w:shd w:val="solid" w:color="FFFFFF" w:fill="auto"/>
            <w:vAlign w:val="bottom"/>
          </w:tcPr>
          <w:p w14:paraId="69B2E4F8"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0F06EA4B"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101,005</w:t>
            </w:r>
          </w:p>
        </w:tc>
        <w:tc>
          <w:tcPr>
            <w:tcW w:w="286" w:type="dxa"/>
            <w:shd w:val="solid" w:color="FFFFFF" w:fill="auto"/>
            <w:vAlign w:val="bottom"/>
          </w:tcPr>
          <w:p w14:paraId="1756FDD0"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7F53E1BC"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3.8%</w:t>
            </w:r>
          </w:p>
        </w:tc>
        <w:tc>
          <w:tcPr>
            <w:tcW w:w="281" w:type="dxa"/>
            <w:shd w:val="solid" w:color="FFFFFF" w:fill="auto"/>
            <w:vAlign w:val="bottom"/>
          </w:tcPr>
          <w:p w14:paraId="5007ECF2"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5B19DF4C"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18</w:t>
            </w:r>
          </w:p>
        </w:tc>
        <w:tc>
          <w:tcPr>
            <w:tcW w:w="287" w:type="dxa"/>
            <w:shd w:val="solid" w:color="FFFFFF" w:fill="auto"/>
            <w:vAlign w:val="bottom"/>
          </w:tcPr>
          <w:p w14:paraId="0A984938"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0F3D9E52"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5,037</w:t>
            </w:r>
          </w:p>
        </w:tc>
      </w:tr>
      <w:tr w:rsidR="005807FA" w:rsidRPr="004E20AE" w14:paraId="4403A4BB" w14:textId="77777777" w:rsidTr="004B3C88">
        <w:trPr>
          <w:trHeight w:val="259"/>
        </w:trPr>
        <w:tc>
          <w:tcPr>
            <w:tcW w:w="2455" w:type="dxa"/>
            <w:shd w:val="solid" w:color="FFFFFF" w:fill="auto"/>
            <w:vAlign w:val="center"/>
          </w:tcPr>
          <w:p w14:paraId="0229FD93"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Gwynedd</w:t>
            </w:r>
          </w:p>
        </w:tc>
        <w:tc>
          <w:tcPr>
            <w:tcW w:w="286" w:type="dxa"/>
            <w:shd w:val="solid" w:color="FFFFFF" w:fill="auto"/>
          </w:tcPr>
          <w:p w14:paraId="1FF19FC2"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138AA787"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179,375</w:t>
            </w:r>
          </w:p>
        </w:tc>
        <w:tc>
          <w:tcPr>
            <w:tcW w:w="287" w:type="dxa"/>
            <w:shd w:val="solid" w:color="FFFFFF" w:fill="auto"/>
          </w:tcPr>
          <w:p w14:paraId="4949AC8D"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2A6D7424"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440D5787"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4EE3B6B3"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187,579</w:t>
            </w:r>
          </w:p>
        </w:tc>
        <w:tc>
          <w:tcPr>
            <w:tcW w:w="286" w:type="dxa"/>
            <w:shd w:val="solid" w:color="FFFFFF" w:fill="auto"/>
          </w:tcPr>
          <w:p w14:paraId="10E4D702"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3619235F"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4.6%</w:t>
            </w:r>
          </w:p>
        </w:tc>
        <w:tc>
          <w:tcPr>
            <w:tcW w:w="281" w:type="dxa"/>
            <w:shd w:val="solid" w:color="FFFFFF" w:fill="auto"/>
          </w:tcPr>
          <w:p w14:paraId="7D6EBD76"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1C6762C9"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6</w:t>
            </w:r>
          </w:p>
        </w:tc>
        <w:tc>
          <w:tcPr>
            <w:tcW w:w="287" w:type="dxa"/>
            <w:shd w:val="solid" w:color="FFFFFF" w:fill="auto"/>
          </w:tcPr>
          <w:p w14:paraId="454589DE"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17C6E31E"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8,728</w:t>
            </w:r>
          </w:p>
        </w:tc>
      </w:tr>
      <w:tr w:rsidR="005807FA" w:rsidRPr="004E20AE" w14:paraId="61A9C4BB" w14:textId="77777777" w:rsidTr="004B3C88">
        <w:trPr>
          <w:trHeight w:val="259"/>
        </w:trPr>
        <w:tc>
          <w:tcPr>
            <w:tcW w:w="2455" w:type="dxa"/>
            <w:shd w:val="solid" w:color="FFFFFF" w:fill="auto"/>
            <w:vAlign w:val="center"/>
          </w:tcPr>
          <w:p w14:paraId="5AD36190"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Conwy</w:t>
            </w:r>
          </w:p>
        </w:tc>
        <w:tc>
          <w:tcPr>
            <w:tcW w:w="286" w:type="dxa"/>
            <w:shd w:val="solid" w:color="FFFFFF" w:fill="auto"/>
          </w:tcPr>
          <w:p w14:paraId="7A52C406"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54371DE7"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156,064</w:t>
            </w:r>
          </w:p>
        </w:tc>
        <w:tc>
          <w:tcPr>
            <w:tcW w:w="287" w:type="dxa"/>
            <w:shd w:val="solid" w:color="FFFFFF" w:fill="auto"/>
          </w:tcPr>
          <w:p w14:paraId="61830D58"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7BA3CE6B"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691</w:t>
            </w:r>
          </w:p>
        </w:tc>
        <w:tc>
          <w:tcPr>
            <w:tcW w:w="287" w:type="dxa"/>
            <w:shd w:val="solid" w:color="FFFFFF" w:fill="auto"/>
          </w:tcPr>
          <w:p w14:paraId="5632DCD3"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784E7187"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161,398</w:t>
            </w:r>
          </w:p>
        </w:tc>
        <w:tc>
          <w:tcPr>
            <w:tcW w:w="286" w:type="dxa"/>
            <w:shd w:val="solid" w:color="FFFFFF" w:fill="auto"/>
          </w:tcPr>
          <w:p w14:paraId="746630F1"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0F7072C8"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3.4%</w:t>
            </w:r>
          </w:p>
        </w:tc>
        <w:tc>
          <w:tcPr>
            <w:tcW w:w="281" w:type="dxa"/>
            <w:shd w:val="solid" w:color="FFFFFF" w:fill="auto"/>
          </w:tcPr>
          <w:p w14:paraId="67F0256A"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02D84DA5"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21</w:t>
            </w:r>
          </w:p>
        </w:tc>
        <w:tc>
          <w:tcPr>
            <w:tcW w:w="287" w:type="dxa"/>
            <w:shd w:val="solid" w:color="FFFFFF" w:fill="auto"/>
          </w:tcPr>
          <w:p w14:paraId="3F276944"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65FE23A1"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8,964</w:t>
            </w:r>
          </w:p>
        </w:tc>
      </w:tr>
      <w:tr w:rsidR="005807FA" w:rsidRPr="004E20AE" w14:paraId="4D95BCA3" w14:textId="77777777" w:rsidTr="004B3C88">
        <w:trPr>
          <w:trHeight w:val="259"/>
        </w:trPr>
        <w:tc>
          <w:tcPr>
            <w:tcW w:w="2455" w:type="dxa"/>
            <w:shd w:val="solid" w:color="FFFFFF" w:fill="auto"/>
            <w:vAlign w:val="center"/>
          </w:tcPr>
          <w:p w14:paraId="48ED33B1"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Denbighshire</w:t>
            </w:r>
          </w:p>
        </w:tc>
        <w:tc>
          <w:tcPr>
            <w:tcW w:w="286" w:type="dxa"/>
            <w:shd w:val="solid" w:color="FFFFFF" w:fill="auto"/>
          </w:tcPr>
          <w:p w14:paraId="4EE4ED82"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3F7876C2"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145,713</w:t>
            </w:r>
          </w:p>
        </w:tc>
        <w:tc>
          <w:tcPr>
            <w:tcW w:w="287" w:type="dxa"/>
            <w:shd w:val="solid" w:color="FFFFFF" w:fill="auto"/>
          </w:tcPr>
          <w:p w14:paraId="0B70C4D9"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003C808B"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2C1C0174"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49709862"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151,932</w:t>
            </w:r>
          </w:p>
        </w:tc>
        <w:tc>
          <w:tcPr>
            <w:tcW w:w="286" w:type="dxa"/>
            <w:shd w:val="solid" w:color="FFFFFF" w:fill="auto"/>
          </w:tcPr>
          <w:p w14:paraId="7F92B646"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3A6790FE"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4.3%</w:t>
            </w:r>
          </w:p>
        </w:tc>
        <w:tc>
          <w:tcPr>
            <w:tcW w:w="281" w:type="dxa"/>
            <w:shd w:val="solid" w:color="FFFFFF" w:fill="auto"/>
          </w:tcPr>
          <w:p w14:paraId="323239F7"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4BE67C77"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11</w:t>
            </w:r>
          </w:p>
        </w:tc>
        <w:tc>
          <w:tcPr>
            <w:tcW w:w="287" w:type="dxa"/>
            <w:shd w:val="solid" w:color="FFFFFF" w:fill="auto"/>
          </w:tcPr>
          <w:p w14:paraId="6441C2DC"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49DD65C3"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8,935</w:t>
            </w:r>
          </w:p>
        </w:tc>
      </w:tr>
      <w:tr w:rsidR="005807FA" w:rsidRPr="004E20AE" w14:paraId="22633488" w14:textId="77777777" w:rsidTr="004B3C88">
        <w:trPr>
          <w:trHeight w:val="259"/>
        </w:trPr>
        <w:tc>
          <w:tcPr>
            <w:tcW w:w="2455" w:type="dxa"/>
            <w:shd w:val="solid" w:color="FFFFFF" w:fill="auto"/>
            <w:vAlign w:val="center"/>
          </w:tcPr>
          <w:p w14:paraId="0472880B"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Flintshire</w:t>
            </w:r>
          </w:p>
        </w:tc>
        <w:tc>
          <w:tcPr>
            <w:tcW w:w="286" w:type="dxa"/>
            <w:shd w:val="solid" w:color="FFFFFF" w:fill="auto"/>
          </w:tcPr>
          <w:p w14:paraId="38D9C4C5"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155E8AF1"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192,212</w:t>
            </w:r>
          </w:p>
        </w:tc>
        <w:tc>
          <w:tcPr>
            <w:tcW w:w="287" w:type="dxa"/>
            <w:shd w:val="solid" w:color="FFFFFF" w:fill="auto"/>
          </w:tcPr>
          <w:p w14:paraId="6704FD11"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456D53E3"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537</w:t>
            </w:r>
          </w:p>
        </w:tc>
        <w:tc>
          <w:tcPr>
            <w:tcW w:w="287" w:type="dxa"/>
            <w:shd w:val="solid" w:color="FFFFFF" w:fill="auto"/>
          </w:tcPr>
          <w:p w14:paraId="0E37F5B9"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13DA6DE9"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199,386</w:t>
            </w:r>
          </w:p>
        </w:tc>
        <w:tc>
          <w:tcPr>
            <w:tcW w:w="286" w:type="dxa"/>
            <w:shd w:val="solid" w:color="FFFFFF" w:fill="auto"/>
          </w:tcPr>
          <w:p w14:paraId="3DB743DC"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3AB31BF3"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3.7%</w:t>
            </w:r>
          </w:p>
        </w:tc>
        <w:tc>
          <w:tcPr>
            <w:tcW w:w="281" w:type="dxa"/>
            <w:shd w:val="solid" w:color="FFFFFF" w:fill="auto"/>
          </w:tcPr>
          <w:p w14:paraId="044408A1"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410BC9AD"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19</w:t>
            </w:r>
          </w:p>
        </w:tc>
        <w:tc>
          <w:tcPr>
            <w:tcW w:w="287" w:type="dxa"/>
            <w:shd w:val="solid" w:color="FFFFFF" w:fill="auto"/>
          </w:tcPr>
          <w:p w14:paraId="7C44CCBB"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766F2ECC"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9,463</w:t>
            </w:r>
          </w:p>
        </w:tc>
      </w:tr>
      <w:tr w:rsidR="005807FA" w:rsidRPr="004E20AE" w14:paraId="211CB93A" w14:textId="77777777" w:rsidTr="004B3C88">
        <w:trPr>
          <w:trHeight w:val="259"/>
        </w:trPr>
        <w:tc>
          <w:tcPr>
            <w:tcW w:w="2455" w:type="dxa"/>
            <w:shd w:val="solid" w:color="FFFFFF" w:fill="auto"/>
            <w:vAlign w:val="center"/>
          </w:tcPr>
          <w:p w14:paraId="52E318F3"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Wrexham</w:t>
            </w:r>
          </w:p>
        </w:tc>
        <w:tc>
          <w:tcPr>
            <w:tcW w:w="286" w:type="dxa"/>
            <w:shd w:val="solid" w:color="FFFFFF" w:fill="auto"/>
          </w:tcPr>
          <w:p w14:paraId="6D41106B"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741FD985"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178,121</w:t>
            </w:r>
          </w:p>
        </w:tc>
        <w:tc>
          <w:tcPr>
            <w:tcW w:w="287" w:type="dxa"/>
            <w:shd w:val="solid" w:color="FFFFFF" w:fill="auto"/>
          </w:tcPr>
          <w:p w14:paraId="04E8BEE1"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6FEF5F14"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4D1F7BF3"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4BE2F284"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184,296</w:t>
            </w:r>
          </w:p>
        </w:tc>
        <w:tc>
          <w:tcPr>
            <w:tcW w:w="286" w:type="dxa"/>
            <w:shd w:val="solid" w:color="FFFFFF" w:fill="auto"/>
          </w:tcPr>
          <w:p w14:paraId="5C7E989A"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7FB1464D"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3.5%</w:t>
            </w:r>
          </w:p>
        </w:tc>
        <w:tc>
          <w:tcPr>
            <w:tcW w:w="281" w:type="dxa"/>
            <w:shd w:val="solid" w:color="FFFFFF" w:fill="auto"/>
          </w:tcPr>
          <w:p w14:paraId="4EE2E990"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7227213C"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20</w:t>
            </w:r>
          </w:p>
        </w:tc>
        <w:tc>
          <w:tcPr>
            <w:tcW w:w="287" w:type="dxa"/>
            <w:shd w:val="solid" w:color="FFFFFF" w:fill="auto"/>
          </w:tcPr>
          <w:p w14:paraId="6232F886"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58752517"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9,298</w:t>
            </w:r>
          </w:p>
        </w:tc>
      </w:tr>
      <w:tr w:rsidR="005807FA" w:rsidRPr="004E20AE" w14:paraId="0DA5DDB0" w14:textId="77777777" w:rsidTr="004B3C88">
        <w:trPr>
          <w:trHeight w:val="259"/>
        </w:trPr>
        <w:tc>
          <w:tcPr>
            <w:tcW w:w="2455" w:type="dxa"/>
            <w:shd w:val="solid" w:color="FFFFFF" w:fill="auto"/>
            <w:vAlign w:val="center"/>
          </w:tcPr>
          <w:p w14:paraId="65FA9FB0"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Powys</w:t>
            </w:r>
          </w:p>
        </w:tc>
        <w:tc>
          <w:tcPr>
            <w:tcW w:w="286" w:type="dxa"/>
            <w:shd w:val="solid" w:color="FFFFFF" w:fill="auto"/>
          </w:tcPr>
          <w:p w14:paraId="5ACD16ED"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08F562D5"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176,940</w:t>
            </w:r>
          </w:p>
        </w:tc>
        <w:tc>
          <w:tcPr>
            <w:tcW w:w="287" w:type="dxa"/>
            <w:shd w:val="solid" w:color="FFFFFF" w:fill="auto"/>
          </w:tcPr>
          <w:p w14:paraId="48DD4BF6"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6CB7FA40"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1,214</w:t>
            </w:r>
          </w:p>
        </w:tc>
        <w:tc>
          <w:tcPr>
            <w:tcW w:w="287" w:type="dxa"/>
            <w:shd w:val="solid" w:color="FFFFFF" w:fill="auto"/>
          </w:tcPr>
          <w:p w14:paraId="690859F1"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006F5396"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184,289</w:t>
            </w:r>
          </w:p>
        </w:tc>
        <w:tc>
          <w:tcPr>
            <w:tcW w:w="286" w:type="dxa"/>
            <w:shd w:val="solid" w:color="FFFFFF" w:fill="auto"/>
          </w:tcPr>
          <w:p w14:paraId="49E65D96"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25A110E5"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4.2%</w:t>
            </w:r>
          </w:p>
        </w:tc>
        <w:tc>
          <w:tcPr>
            <w:tcW w:w="281" w:type="dxa"/>
            <w:shd w:val="solid" w:color="FFFFFF" w:fill="auto"/>
          </w:tcPr>
          <w:p w14:paraId="2F11F87C"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5F7677F9"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14</w:t>
            </w:r>
          </w:p>
        </w:tc>
        <w:tc>
          <w:tcPr>
            <w:tcW w:w="287" w:type="dxa"/>
            <w:shd w:val="solid" w:color="FFFFFF" w:fill="auto"/>
          </w:tcPr>
          <w:p w14:paraId="5EE57DDF"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251ABBDD"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8,349</w:t>
            </w:r>
          </w:p>
        </w:tc>
      </w:tr>
      <w:tr w:rsidR="005807FA" w:rsidRPr="004E20AE" w14:paraId="2A7DF593" w14:textId="77777777" w:rsidTr="004B3C88">
        <w:trPr>
          <w:trHeight w:val="259"/>
        </w:trPr>
        <w:tc>
          <w:tcPr>
            <w:tcW w:w="2455" w:type="dxa"/>
            <w:shd w:val="solid" w:color="FFFFFF" w:fill="auto"/>
            <w:vAlign w:val="center"/>
          </w:tcPr>
          <w:p w14:paraId="2F365898"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Ceredigion</w:t>
            </w:r>
          </w:p>
        </w:tc>
        <w:tc>
          <w:tcPr>
            <w:tcW w:w="286" w:type="dxa"/>
            <w:shd w:val="solid" w:color="FFFFFF" w:fill="auto"/>
          </w:tcPr>
          <w:p w14:paraId="52F186C6"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16CC45AE"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103,308</w:t>
            </w:r>
          </w:p>
        </w:tc>
        <w:tc>
          <w:tcPr>
            <w:tcW w:w="287" w:type="dxa"/>
            <w:shd w:val="solid" w:color="FFFFFF" w:fill="auto"/>
          </w:tcPr>
          <w:p w14:paraId="3599DF55"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6B197F6A"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4C3A06E9"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6927E6CB"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107,646</w:t>
            </w:r>
          </w:p>
        </w:tc>
        <w:tc>
          <w:tcPr>
            <w:tcW w:w="286" w:type="dxa"/>
            <w:shd w:val="solid" w:color="FFFFFF" w:fill="auto"/>
          </w:tcPr>
          <w:p w14:paraId="3ACDE4E5"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07D2F54B"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4.2%</w:t>
            </w:r>
          </w:p>
        </w:tc>
        <w:tc>
          <w:tcPr>
            <w:tcW w:w="281" w:type="dxa"/>
            <w:shd w:val="solid" w:color="FFFFFF" w:fill="auto"/>
          </w:tcPr>
          <w:p w14:paraId="4318F864"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2FFDEC5F"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13</w:t>
            </w:r>
          </w:p>
        </w:tc>
        <w:tc>
          <w:tcPr>
            <w:tcW w:w="287" w:type="dxa"/>
            <w:shd w:val="solid" w:color="FFFFFF" w:fill="auto"/>
          </w:tcPr>
          <w:p w14:paraId="3B61BC66"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2F855E43"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5,061</w:t>
            </w:r>
          </w:p>
        </w:tc>
      </w:tr>
      <w:tr w:rsidR="005807FA" w:rsidRPr="004E20AE" w14:paraId="1B62B21B" w14:textId="77777777" w:rsidTr="004B3C88">
        <w:trPr>
          <w:trHeight w:val="259"/>
        </w:trPr>
        <w:tc>
          <w:tcPr>
            <w:tcW w:w="2455" w:type="dxa"/>
            <w:shd w:val="solid" w:color="FFFFFF" w:fill="auto"/>
            <w:vAlign w:val="center"/>
          </w:tcPr>
          <w:p w14:paraId="3D42DBF3"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Pembrokeshire</w:t>
            </w:r>
          </w:p>
        </w:tc>
        <w:tc>
          <w:tcPr>
            <w:tcW w:w="286" w:type="dxa"/>
            <w:shd w:val="solid" w:color="FFFFFF" w:fill="auto"/>
          </w:tcPr>
          <w:p w14:paraId="48FCC10F"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238736BD"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164,153</w:t>
            </w:r>
          </w:p>
        </w:tc>
        <w:tc>
          <w:tcPr>
            <w:tcW w:w="287" w:type="dxa"/>
            <w:shd w:val="solid" w:color="FFFFFF" w:fill="auto"/>
          </w:tcPr>
          <w:p w14:paraId="154BC5C8"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16EF4A52"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7502FC42"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0E947354"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172,204</w:t>
            </w:r>
          </w:p>
        </w:tc>
        <w:tc>
          <w:tcPr>
            <w:tcW w:w="286" w:type="dxa"/>
            <w:shd w:val="solid" w:color="FFFFFF" w:fill="auto"/>
          </w:tcPr>
          <w:p w14:paraId="70192106"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0F14D646"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4.9%</w:t>
            </w:r>
          </w:p>
        </w:tc>
        <w:tc>
          <w:tcPr>
            <w:tcW w:w="281" w:type="dxa"/>
            <w:shd w:val="solid" w:color="FFFFFF" w:fill="auto"/>
          </w:tcPr>
          <w:p w14:paraId="2D6CEEE8"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47160BF4"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3</w:t>
            </w:r>
          </w:p>
        </w:tc>
        <w:tc>
          <w:tcPr>
            <w:tcW w:w="287" w:type="dxa"/>
            <w:shd w:val="solid" w:color="FFFFFF" w:fill="auto"/>
          </w:tcPr>
          <w:p w14:paraId="33D56908"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1D2B2622"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7,984</w:t>
            </w:r>
          </w:p>
        </w:tc>
      </w:tr>
      <w:tr w:rsidR="005807FA" w:rsidRPr="004E20AE" w14:paraId="6A4236DD" w14:textId="77777777" w:rsidTr="004B3C88">
        <w:trPr>
          <w:trHeight w:val="259"/>
        </w:trPr>
        <w:tc>
          <w:tcPr>
            <w:tcW w:w="2455" w:type="dxa"/>
            <w:shd w:val="solid" w:color="FFFFFF" w:fill="auto"/>
            <w:vAlign w:val="center"/>
          </w:tcPr>
          <w:p w14:paraId="345781C9"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Carmarthenshire</w:t>
            </w:r>
          </w:p>
        </w:tc>
        <w:tc>
          <w:tcPr>
            <w:tcW w:w="286" w:type="dxa"/>
            <w:shd w:val="solid" w:color="FFFFFF" w:fill="auto"/>
          </w:tcPr>
          <w:p w14:paraId="1C1ADCE8"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4D995E70"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262,611</w:t>
            </w:r>
          </w:p>
        </w:tc>
        <w:tc>
          <w:tcPr>
            <w:tcW w:w="287" w:type="dxa"/>
            <w:shd w:val="solid" w:color="FFFFFF" w:fill="auto"/>
          </w:tcPr>
          <w:p w14:paraId="0FC8C455"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2420BBF6"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16D77FFF"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645612E1"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274,159</w:t>
            </w:r>
          </w:p>
        </w:tc>
        <w:tc>
          <w:tcPr>
            <w:tcW w:w="286" w:type="dxa"/>
            <w:shd w:val="solid" w:color="FFFFFF" w:fill="auto"/>
          </w:tcPr>
          <w:p w14:paraId="551F393F"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29E41B3A"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4.4%</w:t>
            </w:r>
          </w:p>
        </w:tc>
        <w:tc>
          <w:tcPr>
            <w:tcW w:w="281" w:type="dxa"/>
            <w:shd w:val="solid" w:color="FFFFFF" w:fill="auto"/>
          </w:tcPr>
          <w:p w14:paraId="2EF544C8"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125C75CA"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10</w:t>
            </w:r>
          </w:p>
        </w:tc>
        <w:tc>
          <w:tcPr>
            <w:tcW w:w="287" w:type="dxa"/>
            <w:shd w:val="solid" w:color="FFFFFF" w:fill="auto"/>
          </w:tcPr>
          <w:p w14:paraId="001F84A7"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5430ABF8"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14,134</w:t>
            </w:r>
          </w:p>
        </w:tc>
      </w:tr>
      <w:tr w:rsidR="005807FA" w:rsidRPr="004E20AE" w14:paraId="4C2DC6EC" w14:textId="77777777" w:rsidTr="004B3C88">
        <w:trPr>
          <w:trHeight w:val="259"/>
        </w:trPr>
        <w:tc>
          <w:tcPr>
            <w:tcW w:w="2455" w:type="dxa"/>
            <w:shd w:val="solid" w:color="FFFFFF" w:fill="auto"/>
            <w:vAlign w:val="center"/>
          </w:tcPr>
          <w:p w14:paraId="093FA87C"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Swansea</w:t>
            </w:r>
          </w:p>
        </w:tc>
        <w:tc>
          <w:tcPr>
            <w:tcW w:w="286" w:type="dxa"/>
            <w:shd w:val="solid" w:color="FFFFFF" w:fill="auto"/>
          </w:tcPr>
          <w:p w14:paraId="6A2F5B9C"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35DA6336"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325,697</w:t>
            </w:r>
          </w:p>
        </w:tc>
        <w:tc>
          <w:tcPr>
            <w:tcW w:w="287" w:type="dxa"/>
            <w:shd w:val="solid" w:color="FFFFFF" w:fill="auto"/>
          </w:tcPr>
          <w:p w14:paraId="161CEBE8"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6E92DC39"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131778B6"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067E974B"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339,381</w:t>
            </w:r>
          </w:p>
        </w:tc>
        <w:tc>
          <w:tcPr>
            <w:tcW w:w="286" w:type="dxa"/>
            <w:shd w:val="solid" w:color="FFFFFF" w:fill="auto"/>
          </w:tcPr>
          <w:p w14:paraId="417EBC10"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360184E9"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4.2%</w:t>
            </w:r>
          </w:p>
        </w:tc>
        <w:tc>
          <w:tcPr>
            <w:tcW w:w="281" w:type="dxa"/>
            <w:shd w:val="solid" w:color="FFFFFF" w:fill="auto"/>
          </w:tcPr>
          <w:p w14:paraId="7354A2FA"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10FD43D7"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12</w:t>
            </w:r>
          </w:p>
        </w:tc>
        <w:tc>
          <w:tcPr>
            <w:tcW w:w="287" w:type="dxa"/>
            <w:shd w:val="solid" w:color="FFFFFF" w:fill="auto"/>
          </w:tcPr>
          <w:p w14:paraId="5F203BB0"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729EABB2"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19,012</w:t>
            </w:r>
          </w:p>
        </w:tc>
      </w:tr>
      <w:tr w:rsidR="005807FA" w:rsidRPr="004E20AE" w14:paraId="354E9590" w14:textId="77777777" w:rsidTr="004B3C88">
        <w:trPr>
          <w:trHeight w:val="259"/>
        </w:trPr>
        <w:tc>
          <w:tcPr>
            <w:tcW w:w="2455" w:type="dxa"/>
            <w:shd w:val="solid" w:color="FFFFFF" w:fill="auto"/>
            <w:vAlign w:val="center"/>
          </w:tcPr>
          <w:p w14:paraId="13351DEF"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Neath Port Talbot</w:t>
            </w:r>
          </w:p>
        </w:tc>
        <w:tc>
          <w:tcPr>
            <w:tcW w:w="286" w:type="dxa"/>
            <w:shd w:val="solid" w:color="FFFFFF" w:fill="auto"/>
          </w:tcPr>
          <w:p w14:paraId="77CA1743"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1EEB6372"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217,091</w:t>
            </w:r>
          </w:p>
        </w:tc>
        <w:tc>
          <w:tcPr>
            <w:tcW w:w="287" w:type="dxa"/>
            <w:shd w:val="solid" w:color="FFFFFF" w:fill="auto"/>
          </w:tcPr>
          <w:p w14:paraId="4752DADD" w14:textId="77777777" w:rsidR="005807FA" w:rsidRPr="004E20AE" w:rsidRDefault="005807FA" w:rsidP="004B3C88">
            <w:pPr>
              <w:autoSpaceDE w:val="0"/>
              <w:autoSpaceDN w:val="0"/>
              <w:adjustRightInd w:val="0"/>
              <w:jc w:val="right"/>
              <w:rPr>
                <w:rFonts w:ascii="Arial" w:hAnsi="Arial" w:cs="Arial"/>
                <w:sz w:val="20"/>
                <w:lang w:eastAsia="en-GB"/>
              </w:rPr>
            </w:pPr>
          </w:p>
        </w:tc>
        <w:tc>
          <w:tcPr>
            <w:tcW w:w="1067" w:type="dxa"/>
            <w:shd w:val="solid" w:color="FFFFFF" w:fill="auto"/>
            <w:vAlign w:val="bottom"/>
          </w:tcPr>
          <w:p w14:paraId="50A330F1"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1F997388"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5CF1E40C"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226,762</w:t>
            </w:r>
          </w:p>
        </w:tc>
        <w:tc>
          <w:tcPr>
            <w:tcW w:w="286" w:type="dxa"/>
            <w:shd w:val="solid" w:color="FFFFFF" w:fill="auto"/>
          </w:tcPr>
          <w:p w14:paraId="46C690AD" w14:textId="77777777" w:rsidR="005807FA" w:rsidRPr="004E20AE" w:rsidRDefault="005807FA" w:rsidP="004B3C88">
            <w:pPr>
              <w:autoSpaceDE w:val="0"/>
              <w:autoSpaceDN w:val="0"/>
              <w:adjustRightInd w:val="0"/>
              <w:jc w:val="right"/>
              <w:rPr>
                <w:rFonts w:ascii="Arial" w:hAnsi="Arial" w:cs="Arial"/>
                <w:sz w:val="20"/>
                <w:lang w:eastAsia="en-GB"/>
              </w:rPr>
            </w:pPr>
          </w:p>
        </w:tc>
        <w:tc>
          <w:tcPr>
            <w:tcW w:w="1337" w:type="dxa"/>
            <w:shd w:val="solid" w:color="FFFFFF" w:fill="auto"/>
            <w:vAlign w:val="bottom"/>
          </w:tcPr>
          <w:p w14:paraId="4AA92167"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4.5%</w:t>
            </w:r>
          </w:p>
        </w:tc>
        <w:tc>
          <w:tcPr>
            <w:tcW w:w="281" w:type="dxa"/>
            <w:shd w:val="solid" w:color="FFFFFF" w:fill="auto"/>
          </w:tcPr>
          <w:p w14:paraId="55733D1D"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40FC736D"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8</w:t>
            </w:r>
          </w:p>
        </w:tc>
        <w:tc>
          <w:tcPr>
            <w:tcW w:w="287" w:type="dxa"/>
            <w:shd w:val="solid" w:color="FFFFFF" w:fill="auto"/>
          </w:tcPr>
          <w:p w14:paraId="2FE4FA09"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7E58F226"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16,201</w:t>
            </w:r>
          </w:p>
        </w:tc>
      </w:tr>
      <w:tr w:rsidR="005807FA" w:rsidRPr="004E20AE" w14:paraId="1CFF2E09" w14:textId="77777777" w:rsidTr="004B3C88">
        <w:trPr>
          <w:trHeight w:val="259"/>
        </w:trPr>
        <w:tc>
          <w:tcPr>
            <w:tcW w:w="2455" w:type="dxa"/>
            <w:shd w:val="solid" w:color="FFFFFF" w:fill="auto"/>
            <w:vAlign w:val="center"/>
          </w:tcPr>
          <w:p w14:paraId="22CC9599"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Bridgend</w:t>
            </w:r>
          </w:p>
        </w:tc>
        <w:tc>
          <w:tcPr>
            <w:tcW w:w="286" w:type="dxa"/>
            <w:shd w:val="solid" w:color="FFFFFF" w:fill="auto"/>
          </w:tcPr>
          <w:p w14:paraId="1D93D1B8"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4AE15017"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193,949</w:t>
            </w:r>
          </w:p>
        </w:tc>
        <w:tc>
          <w:tcPr>
            <w:tcW w:w="287" w:type="dxa"/>
            <w:shd w:val="solid" w:color="FFFFFF" w:fill="auto"/>
          </w:tcPr>
          <w:p w14:paraId="40CA70CD" w14:textId="77777777" w:rsidR="005807FA" w:rsidRPr="004E20AE" w:rsidRDefault="005807FA" w:rsidP="004B3C88">
            <w:pPr>
              <w:autoSpaceDE w:val="0"/>
              <w:autoSpaceDN w:val="0"/>
              <w:adjustRightInd w:val="0"/>
              <w:jc w:val="right"/>
              <w:rPr>
                <w:rFonts w:ascii="Arial" w:hAnsi="Arial" w:cs="Arial"/>
                <w:sz w:val="20"/>
                <w:lang w:eastAsia="en-GB"/>
              </w:rPr>
            </w:pPr>
          </w:p>
        </w:tc>
        <w:tc>
          <w:tcPr>
            <w:tcW w:w="1067" w:type="dxa"/>
            <w:shd w:val="solid" w:color="FFFFFF" w:fill="auto"/>
            <w:vAlign w:val="bottom"/>
          </w:tcPr>
          <w:p w14:paraId="31563846"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53B99A10"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12584057"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203,127</w:t>
            </w:r>
          </w:p>
        </w:tc>
        <w:tc>
          <w:tcPr>
            <w:tcW w:w="286" w:type="dxa"/>
            <w:shd w:val="solid" w:color="FFFFFF" w:fill="auto"/>
          </w:tcPr>
          <w:p w14:paraId="5EA90BFE" w14:textId="77777777" w:rsidR="005807FA" w:rsidRPr="004E20AE" w:rsidRDefault="005807FA" w:rsidP="004B3C88">
            <w:pPr>
              <w:autoSpaceDE w:val="0"/>
              <w:autoSpaceDN w:val="0"/>
              <w:adjustRightInd w:val="0"/>
              <w:jc w:val="right"/>
              <w:rPr>
                <w:rFonts w:ascii="Arial" w:hAnsi="Arial" w:cs="Arial"/>
                <w:sz w:val="20"/>
                <w:lang w:eastAsia="en-GB"/>
              </w:rPr>
            </w:pPr>
          </w:p>
        </w:tc>
        <w:tc>
          <w:tcPr>
            <w:tcW w:w="1337" w:type="dxa"/>
            <w:shd w:val="solid" w:color="FFFFFF" w:fill="auto"/>
            <w:vAlign w:val="bottom"/>
          </w:tcPr>
          <w:p w14:paraId="163DE691"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4.7%</w:t>
            </w:r>
          </w:p>
        </w:tc>
        <w:tc>
          <w:tcPr>
            <w:tcW w:w="281" w:type="dxa"/>
            <w:shd w:val="solid" w:color="FFFFFF" w:fill="auto"/>
          </w:tcPr>
          <w:p w14:paraId="5FC3139A"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59D3ED5C"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5</w:t>
            </w:r>
          </w:p>
        </w:tc>
        <w:tc>
          <w:tcPr>
            <w:tcW w:w="287" w:type="dxa"/>
            <w:shd w:val="solid" w:color="FFFFFF" w:fill="auto"/>
          </w:tcPr>
          <w:p w14:paraId="3245CA46"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3A6DAFD4"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13,184</w:t>
            </w:r>
          </w:p>
        </w:tc>
      </w:tr>
      <w:tr w:rsidR="005807FA" w:rsidRPr="004E20AE" w14:paraId="5E270F9C" w14:textId="77777777" w:rsidTr="004B3C88">
        <w:trPr>
          <w:trHeight w:val="259"/>
        </w:trPr>
        <w:tc>
          <w:tcPr>
            <w:tcW w:w="2455" w:type="dxa"/>
            <w:shd w:val="solid" w:color="FFFFFF" w:fill="auto"/>
            <w:vAlign w:val="center"/>
          </w:tcPr>
          <w:p w14:paraId="0495D6D4"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The Vale Of Glamorgan</w:t>
            </w:r>
          </w:p>
        </w:tc>
        <w:tc>
          <w:tcPr>
            <w:tcW w:w="286" w:type="dxa"/>
            <w:shd w:val="solid" w:color="FFFFFF" w:fill="auto"/>
          </w:tcPr>
          <w:p w14:paraId="035F4867"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79695289"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153,453</w:t>
            </w:r>
          </w:p>
        </w:tc>
        <w:tc>
          <w:tcPr>
            <w:tcW w:w="287" w:type="dxa"/>
            <w:shd w:val="solid" w:color="FFFFFF" w:fill="auto"/>
          </w:tcPr>
          <w:p w14:paraId="589037AC" w14:textId="77777777" w:rsidR="005807FA" w:rsidRPr="004E20AE" w:rsidRDefault="005807FA" w:rsidP="004B3C88">
            <w:pPr>
              <w:autoSpaceDE w:val="0"/>
              <w:autoSpaceDN w:val="0"/>
              <w:adjustRightInd w:val="0"/>
              <w:jc w:val="right"/>
              <w:rPr>
                <w:rFonts w:ascii="Arial" w:hAnsi="Arial" w:cs="Arial"/>
                <w:sz w:val="20"/>
                <w:lang w:eastAsia="en-GB"/>
              </w:rPr>
            </w:pPr>
          </w:p>
        </w:tc>
        <w:tc>
          <w:tcPr>
            <w:tcW w:w="1067" w:type="dxa"/>
            <w:shd w:val="solid" w:color="FFFFFF" w:fill="auto"/>
            <w:vAlign w:val="bottom"/>
          </w:tcPr>
          <w:p w14:paraId="2FB49C86"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3EE58EC1"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07A2664C"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161,021</w:t>
            </w:r>
          </w:p>
        </w:tc>
        <w:tc>
          <w:tcPr>
            <w:tcW w:w="286" w:type="dxa"/>
            <w:shd w:val="solid" w:color="FFFFFF" w:fill="auto"/>
          </w:tcPr>
          <w:p w14:paraId="7C3B1F76" w14:textId="77777777" w:rsidR="005807FA" w:rsidRPr="004E20AE" w:rsidRDefault="005807FA" w:rsidP="004B3C88">
            <w:pPr>
              <w:autoSpaceDE w:val="0"/>
              <w:autoSpaceDN w:val="0"/>
              <w:adjustRightInd w:val="0"/>
              <w:jc w:val="right"/>
              <w:rPr>
                <w:rFonts w:ascii="Arial" w:hAnsi="Arial" w:cs="Arial"/>
                <w:sz w:val="20"/>
                <w:lang w:eastAsia="en-GB"/>
              </w:rPr>
            </w:pPr>
          </w:p>
        </w:tc>
        <w:tc>
          <w:tcPr>
            <w:tcW w:w="1337" w:type="dxa"/>
            <w:shd w:val="solid" w:color="FFFFFF" w:fill="auto"/>
            <w:vAlign w:val="bottom"/>
          </w:tcPr>
          <w:p w14:paraId="0332F85E"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4.9%</w:t>
            </w:r>
          </w:p>
        </w:tc>
        <w:tc>
          <w:tcPr>
            <w:tcW w:w="281" w:type="dxa"/>
            <w:shd w:val="solid" w:color="FFFFFF" w:fill="auto"/>
          </w:tcPr>
          <w:p w14:paraId="556EE36C"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1A1785B3"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w:t>
            </w:r>
          </w:p>
        </w:tc>
        <w:tc>
          <w:tcPr>
            <w:tcW w:w="287" w:type="dxa"/>
            <w:shd w:val="solid" w:color="FFFFFF" w:fill="auto"/>
          </w:tcPr>
          <w:p w14:paraId="1370D7E1"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6B16A0E3"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9,053</w:t>
            </w:r>
          </w:p>
        </w:tc>
      </w:tr>
      <w:tr w:rsidR="005807FA" w:rsidRPr="004E20AE" w14:paraId="12EC9EE7" w14:textId="77777777" w:rsidTr="004B3C88">
        <w:trPr>
          <w:trHeight w:val="259"/>
        </w:trPr>
        <w:tc>
          <w:tcPr>
            <w:tcW w:w="2455" w:type="dxa"/>
            <w:shd w:val="solid" w:color="FFFFFF" w:fill="auto"/>
            <w:vAlign w:val="center"/>
          </w:tcPr>
          <w:p w14:paraId="1B8ECA49"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Rhondda Cynon Taf</w:t>
            </w:r>
          </w:p>
        </w:tc>
        <w:tc>
          <w:tcPr>
            <w:tcW w:w="286" w:type="dxa"/>
            <w:shd w:val="solid" w:color="FFFFFF" w:fill="auto"/>
          </w:tcPr>
          <w:p w14:paraId="4FF31A9A"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3C5055BF"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372,105</w:t>
            </w:r>
          </w:p>
        </w:tc>
        <w:tc>
          <w:tcPr>
            <w:tcW w:w="287" w:type="dxa"/>
            <w:shd w:val="solid" w:color="FFFFFF" w:fill="auto"/>
          </w:tcPr>
          <w:p w14:paraId="70F64505"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32C2B958"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734D276D"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71EE8538"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388,666</w:t>
            </w:r>
          </w:p>
        </w:tc>
        <w:tc>
          <w:tcPr>
            <w:tcW w:w="286" w:type="dxa"/>
            <w:shd w:val="solid" w:color="FFFFFF" w:fill="auto"/>
          </w:tcPr>
          <w:p w14:paraId="6679A2AA"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63622E32"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4.5%</w:t>
            </w:r>
          </w:p>
        </w:tc>
        <w:tc>
          <w:tcPr>
            <w:tcW w:w="281" w:type="dxa"/>
            <w:shd w:val="solid" w:color="FFFFFF" w:fill="auto"/>
          </w:tcPr>
          <w:p w14:paraId="48931738"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4DEE9E21"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9</w:t>
            </w:r>
          </w:p>
        </w:tc>
        <w:tc>
          <w:tcPr>
            <w:tcW w:w="287" w:type="dxa"/>
            <w:shd w:val="solid" w:color="FFFFFF" w:fill="auto"/>
          </w:tcPr>
          <w:p w14:paraId="56352936"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507AD28F"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21,564</w:t>
            </w:r>
          </w:p>
        </w:tc>
      </w:tr>
      <w:tr w:rsidR="005807FA" w:rsidRPr="004E20AE" w14:paraId="446A82D3" w14:textId="77777777" w:rsidTr="004B3C88">
        <w:trPr>
          <w:trHeight w:val="259"/>
        </w:trPr>
        <w:tc>
          <w:tcPr>
            <w:tcW w:w="2455" w:type="dxa"/>
            <w:shd w:val="solid" w:color="FFFFFF" w:fill="auto"/>
            <w:vAlign w:val="center"/>
          </w:tcPr>
          <w:p w14:paraId="1A98CD6D"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Merthyr Tydfil</w:t>
            </w:r>
          </w:p>
        </w:tc>
        <w:tc>
          <w:tcPr>
            <w:tcW w:w="286" w:type="dxa"/>
            <w:shd w:val="solid" w:color="FFFFFF" w:fill="auto"/>
          </w:tcPr>
          <w:p w14:paraId="730D8957"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695AB807"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92,332</w:t>
            </w:r>
          </w:p>
        </w:tc>
        <w:tc>
          <w:tcPr>
            <w:tcW w:w="287" w:type="dxa"/>
            <w:shd w:val="solid" w:color="FFFFFF" w:fill="auto"/>
          </w:tcPr>
          <w:p w14:paraId="5852D443"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7CA5E182"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02C929E6"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7A58FECB"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96,810</w:t>
            </w:r>
          </w:p>
        </w:tc>
        <w:tc>
          <w:tcPr>
            <w:tcW w:w="286" w:type="dxa"/>
            <w:shd w:val="solid" w:color="FFFFFF" w:fill="auto"/>
          </w:tcPr>
          <w:p w14:paraId="4333B253"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314CFF62"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4.8%</w:t>
            </w:r>
          </w:p>
        </w:tc>
        <w:tc>
          <w:tcPr>
            <w:tcW w:w="281" w:type="dxa"/>
            <w:shd w:val="solid" w:color="FFFFFF" w:fill="auto"/>
          </w:tcPr>
          <w:p w14:paraId="71EE1549"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55B384AF"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w:t>
            </w:r>
          </w:p>
        </w:tc>
        <w:tc>
          <w:tcPr>
            <w:tcW w:w="287" w:type="dxa"/>
            <w:shd w:val="solid" w:color="FFFFFF" w:fill="auto"/>
          </w:tcPr>
          <w:p w14:paraId="62F60E74"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14957307"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5,611</w:t>
            </w:r>
          </w:p>
        </w:tc>
      </w:tr>
      <w:tr w:rsidR="005807FA" w:rsidRPr="004E20AE" w14:paraId="02350008" w14:textId="77777777" w:rsidTr="004B3C88">
        <w:trPr>
          <w:trHeight w:val="259"/>
        </w:trPr>
        <w:tc>
          <w:tcPr>
            <w:tcW w:w="2455" w:type="dxa"/>
            <w:shd w:val="solid" w:color="FFFFFF" w:fill="auto"/>
            <w:vAlign w:val="center"/>
          </w:tcPr>
          <w:p w14:paraId="4529A3BB"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Caerphilly</w:t>
            </w:r>
          </w:p>
        </w:tc>
        <w:tc>
          <w:tcPr>
            <w:tcW w:w="286" w:type="dxa"/>
            <w:shd w:val="solid" w:color="FFFFFF" w:fill="auto"/>
          </w:tcPr>
          <w:p w14:paraId="697B16EC"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322B3B58"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272,212</w:t>
            </w:r>
          </w:p>
        </w:tc>
        <w:tc>
          <w:tcPr>
            <w:tcW w:w="287" w:type="dxa"/>
            <w:shd w:val="solid" w:color="FFFFFF" w:fill="auto"/>
          </w:tcPr>
          <w:p w14:paraId="3F90701E"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2329FDE0"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1CFD3F16"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3A69F81F"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283,367</w:t>
            </w:r>
          </w:p>
        </w:tc>
        <w:tc>
          <w:tcPr>
            <w:tcW w:w="286" w:type="dxa"/>
            <w:shd w:val="solid" w:color="FFFFFF" w:fill="auto"/>
          </w:tcPr>
          <w:p w14:paraId="0E60A1E5"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2C2F7F7F"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4.1%</w:t>
            </w:r>
          </w:p>
        </w:tc>
        <w:tc>
          <w:tcPr>
            <w:tcW w:w="281" w:type="dxa"/>
            <w:shd w:val="solid" w:color="FFFFFF" w:fill="auto"/>
          </w:tcPr>
          <w:p w14:paraId="353AF28B"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31779C4F"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16</w:t>
            </w:r>
          </w:p>
        </w:tc>
        <w:tc>
          <w:tcPr>
            <w:tcW w:w="287" w:type="dxa"/>
            <w:shd w:val="solid" w:color="FFFFFF" w:fill="auto"/>
          </w:tcPr>
          <w:p w14:paraId="54B4460F"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22F0929B"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12,916</w:t>
            </w:r>
          </w:p>
        </w:tc>
      </w:tr>
      <w:tr w:rsidR="005807FA" w:rsidRPr="004E20AE" w14:paraId="24100BE5" w14:textId="77777777" w:rsidTr="004B3C88">
        <w:trPr>
          <w:trHeight w:val="259"/>
        </w:trPr>
        <w:tc>
          <w:tcPr>
            <w:tcW w:w="2455" w:type="dxa"/>
            <w:shd w:val="solid" w:color="FFFFFF" w:fill="auto"/>
            <w:vAlign w:val="center"/>
          </w:tcPr>
          <w:p w14:paraId="464EDD77"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Blaenau Gwent</w:t>
            </w:r>
          </w:p>
        </w:tc>
        <w:tc>
          <w:tcPr>
            <w:tcW w:w="286" w:type="dxa"/>
            <w:shd w:val="solid" w:color="FFFFFF" w:fill="auto"/>
          </w:tcPr>
          <w:p w14:paraId="5A92FEAA"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5440A7D5"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111,727</w:t>
            </w:r>
          </w:p>
        </w:tc>
        <w:tc>
          <w:tcPr>
            <w:tcW w:w="287" w:type="dxa"/>
            <w:shd w:val="solid" w:color="FFFFFF" w:fill="auto"/>
          </w:tcPr>
          <w:p w14:paraId="4F737BAE"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1C5CB23B"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2B2E4A1E"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29DE1BB8"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116,063</w:t>
            </w:r>
          </w:p>
        </w:tc>
        <w:tc>
          <w:tcPr>
            <w:tcW w:w="286" w:type="dxa"/>
            <w:shd w:val="solid" w:color="FFFFFF" w:fill="auto"/>
          </w:tcPr>
          <w:p w14:paraId="48DA2BDF"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74D1F588"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3.9%</w:t>
            </w:r>
          </w:p>
        </w:tc>
        <w:tc>
          <w:tcPr>
            <w:tcW w:w="281" w:type="dxa"/>
            <w:shd w:val="solid" w:color="FFFFFF" w:fill="auto"/>
          </w:tcPr>
          <w:p w14:paraId="35C55559"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6E680362"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17</w:t>
            </w:r>
          </w:p>
        </w:tc>
        <w:tc>
          <w:tcPr>
            <w:tcW w:w="287" w:type="dxa"/>
            <w:shd w:val="solid" w:color="FFFFFF" w:fill="auto"/>
          </w:tcPr>
          <w:p w14:paraId="2756AE74"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436F68B0"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8,079</w:t>
            </w:r>
          </w:p>
        </w:tc>
      </w:tr>
      <w:tr w:rsidR="005807FA" w:rsidRPr="004E20AE" w14:paraId="7A483392" w14:textId="77777777" w:rsidTr="004B3C88">
        <w:trPr>
          <w:trHeight w:val="259"/>
        </w:trPr>
        <w:tc>
          <w:tcPr>
            <w:tcW w:w="2455" w:type="dxa"/>
            <w:shd w:val="solid" w:color="FFFFFF" w:fill="auto"/>
            <w:vAlign w:val="center"/>
          </w:tcPr>
          <w:p w14:paraId="16A50F82"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Torfaen</w:t>
            </w:r>
          </w:p>
        </w:tc>
        <w:tc>
          <w:tcPr>
            <w:tcW w:w="286" w:type="dxa"/>
            <w:shd w:val="solid" w:color="FFFFFF" w:fill="auto"/>
          </w:tcPr>
          <w:p w14:paraId="5550B45C"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142407DD"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134,373</w:t>
            </w:r>
          </w:p>
        </w:tc>
        <w:tc>
          <w:tcPr>
            <w:tcW w:w="287" w:type="dxa"/>
            <w:shd w:val="solid" w:color="FFFFFF" w:fill="auto"/>
          </w:tcPr>
          <w:p w14:paraId="454E65FA"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6BAB069A"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1B293989"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1790EC5A"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140,467</w:t>
            </w:r>
          </w:p>
        </w:tc>
        <w:tc>
          <w:tcPr>
            <w:tcW w:w="286" w:type="dxa"/>
            <w:shd w:val="solid" w:color="FFFFFF" w:fill="auto"/>
          </w:tcPr>
          <w:p w14:paraId="2DC7F949"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6BB32F06"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4.5%</w:t>
            </w:r>
          </w:p>
        </w:tc>
        <w:tc>
          <w:tcPr>
            <w:tcW w:w="281" w:type="dxa"/>
            <w:shd w:val="solid" w:color="FFFFFF" w:fill="auto"/>
          </w:tcPr>
          <w:p w14:paraId="541FDA49"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65060BF1"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7</w:t>
            </w:r>
          </w:p>
        </w:tc>
        <w:tc>
          <w:tcPr>
            <w:tcW w:w="287" w:type="dxa"/>
            <w:shd w:val="solid" w:color="FFFFFF" w:fill="auto"/>
          </w:tcPr>
          <w:p w14:paraId="34050C32"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40B1A65E"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8,234</w:t>
            </w:r>
          </w:p>
        </w:tc>
      </w:tr>
      <w:tr w:rsidR="005807FA" w:rsidRPr="004E20AE" w14:paraId="4708A550" w14:textId="77777777" w:rsidTr="004B3C88">
        <w:trPr>
          <w:trHeight w:val="259"/>
        </w:trPr>
        <w:tc>
          <w:tcPr>
            <w:tcW w:w="2455" w:type="dxa"/>
            <w:shd w:val="solid" w:color="FFFFFF" w:fill="auto"/>
            <w:vAlign w:val="center"/>
          </w:tcPr>
          <w:p w14:paraId="3EEF568F"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Monmouthshire</w:t>
            </w:r>
          </w:p>
        </w:tc>
        <w:tc>
          <w:tcPr>
            <w:tcW w:w="286" w:type="dxa"/>
            <w:shd w:val="solid" w:color="FFFFFF" w:fill="auto"/>
          </w:tcPr>
          <w:p w14:paraId="7ED882CA"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531E6D3A"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94,896</w:t>
            </w:r>
          </w:p>
        </w:tc>
        <w:tc>
          <w:tcPr>
            <w:tcW w:w="287" w:type="dxa"/>
            <w:shd w:val="solid" w:color="FFFFFF" w:fill="auto"/>
          </w:tcPr>
          <w:p w14:paraId="51512EFF"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3284E02D"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759</w:t>
            </w:r>
          </w:p>
        </w:tc>
        <w:tc>
          <w:tcPr>
            <w:tcW w:w="287" w:type="dxa"/>
            <w:shd w:val="solid" w:color="FFFFFF" w:fill="auto"/>
          </w:tcPr>
          <w:p w14:paraId="2E98FBA3"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3DFA5529"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97,760</w:t>
            </w:r>
          </w:p>
        </w:tc>
        <w:tc>
          <w:tcPr>
            <w:tcW w:w="286" w:type="dxa"/>
            <w:shd w:val="solid" w:color="FFFFFF" w:fill="auto"/>
          </w:tcPr>
          <w:p w14:paraId="47A1E188"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2855FDDE"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3.0%</w:t>
            </w:r>
          </w:p>
        </w:tc>
        <w:tc>
          <w:tcPr>
            <w:tcW w:w="281" w:type="dxa"/>
            <w:shd w:val="solid" w:color="FFFFFF" w:fill="auto"/>
          </w:tcPr>
          <w:p w14:paraId="05F8F0DD"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3A3CFF24"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22</w:t>
            </w:r>
          </w:p>
        </w:tc>
        <w:tc>
          <w:tcPr>
            <w:tcW w:w="287" w:type="dxa"/>
            <w:shd w:val="solid" w:color="FFFFFF" w:fill="auto"/>
          </w:tcPr>
          <w:p w14:paraId="5114CC0A"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25E46BCF"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5,766</w:t>
            </w:r>
          </w:p>
        </w:tc>
      </w:tr>
      <w:tr w:rsidR="005807FA" w:rsidRPr="004E20AE" w14:paraId="39618C60" w14:textId="77777777" w:rsidTr="004B3C88">
        <w:trPr>
          <w:trHeight w:val="259"/>
        </w:trPr>
        <w:tc>
          <w:tcPr>
            <w:tcW w:w="2455" w:type="dxa"/>
            <w:shd w:val="solid" w:color="FFFFFF" w:fill="auto"/>
            <w:vAlign w:val="center"/>
          </w:tcPr>
          <w:p w14:paraId="31BAC1FC"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Newport</w:t>
            </w:r>
          </w:p>
        </w:tc>
        <w:tc>
          <w:tcPr>
            <w:tcW w:w="286" w:type="dxa"/>
            <w:shd w:val="solid" w:color="FFFFFF" w:fill="auto"/>
          </w:tcPr>
          <w:p w14:paraId="64B0A4CE"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shd w:val="solid" w:color="FFFFFF" w:fill="auto"/>
            <w:vAlign w:val="bottom"/>
          </w:tcPr>
          <w:p w14:paraId="67AF5EE1"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216,443</w:t>
            </w:r>
          </w:p>
        </w:tc>
        <w:tc>
          <w:tcPr>
            <w:tcW w:w="287" w:type="dxa"/>
            <w:shd w:val="solid" w:color="FFFFFF" w:fill="auto"/>
          </w:tcPr>
          <w:p w14:paraId="4DD7DB18"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shd w:val="solid" w:color="FFFFFF" w:fill="auto"/>
            <w:vAlign w:val="bottom"/>
          </w:tcPr>
          <w:p w14:paraId="6CFCFD22"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40880440"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shd w:val="solid" w:color="FFFFFF" w:fill="auto"/>
            <w:vAlign w:val="bottom"/>
          </w:tcPr>
          <w:p w14:paraId="3D17F1AD"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228,077</w:t>
            </w:r>
          </w:p>
        </w:tc>
        <w:tc>
          <w:tcPr>
            <w:tcW w:w="286" w:type="dxa"/>
            <w:shd w:val="solid" w:color="FFFFFF" w:fill="auto"/>
          </w:tcPr>
          <w:p w14:paraId="5A9F5F4D"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shd w:val="solid" w:color="FFFFFF" w:fill="auto"/>
            <w:vAlign w:val="bottom"/>
          </w:tcPr>
          <w:p w14:paraId="2F17E491"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5.4%</w:t>
            </w:r>
          </w:p>
        </w:tc>
        <w:tc>
          <w:tcPr>
            <w:tcW w:w="281" w:type="dxa"/>
            <w:shd w:val="solid" w:color="FFFFFF" w:fill="auto"/>
          </w:tcPr>
          <w:p w14:paraId="42A84F1D" w14:textId="77777777" w:rsidR="005807FA" w:rsidRPr="004E20AE" w:rsidRDefault="005807FA" w:rsidP="004B3C88">
            <w:pPr>
              <w:jc w:val="right"/>
              <w:rPr>
                <w:rFonts w:ascii="Arial" w:hAnsi="Arial" w:cs="Arial"/>
                <w:sz w:val="20"/>
                <w:highlight w:val="yellow"/>
                <w:lang w:eastAsia="en-GB"/>
              </w:rPr>
            </w:pPr>
          </w:p>
        </w:tc>
        <w:tc>
          <w:tcPr>
            <w:tcW w:w="572" w:type="dxa"/>
            <w:shd w:val="solid" w:color="FFFFFF" w:fill="auto"/>
            <w:vAlign w:val="bottom"/>
          </w:tcPr>
          <w:p w14:paraId="4DEFED77"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w:t>
            </w:r>
          </w:p>
        </w:tc>
        <w:tc>
          <w:tcPr>
            <w:tcW w:w="287" w:type="dxa"/>
            <w:shd w:val="solid" w:color="FFFFFF" w:fill="auto"/>
          </w:tcPr>
          <w:p w14:paraId="0875D795" w14:textId="77777777" w:rsidR="005807FA" w:rsidRPr="004E20AE" w:rsidRDefault="005807FA" w:rsidP="004B3C88">
            <w:pPr>
              <w:jc w:val="right"/>
              <w:rPr>
                <w:rFonts w:ascii="Arial" w:hAnsi="Arial" w:cs="Arial"/>
                <w:sz w:val="20"/>
                <w:highlight w:val="yellow"/>
                <w:lang w:eastAsia="en-GB"/>
              </w:rPr>
            </w:pPr>
          </w:p>
        </w:tc>
        <w:tc>
          <w:tcPr>
            <w:tcW w:w="1348" w:type="dxa"/>
            <w:shd w:val="solid" w:color="FFFFFF" w:fill="auto"/>
            <w:vAlign w:val="bottom"/>
          </w:tcPr>
          <w:p w14:paraId="2BDC3171"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10,212</w:t>
            </w:r>
          </w:p>
        </w:tc>
      </w:tr>
      <w:tr w:rsidR="005807FA" w:rsidRPr="004E20AE" w14:paraId="3165EFC7" w14:textId="77777777" w:rsidTr="004B3C88">
        <w:trPr>
          <w:trHeight w:val="259"/>
        </w:trPr>
        <w:tc>
          <w:tcPr>
            <w:tcW w:w="2455" w:type="dxa"/>
            <w:tcBorders>
              <w:bottom w:val="single" w:sz="4" w:space="0" w:color="auto"/>
            </w:tcBorders>
            <w:shd w:val="solid" w:color="FFFFFF" w:fill="auto"/>
            <w:vAlign w:val="center"/>
          </w:tcPr>
          <w:p w14:paraId="6E530DEC" w14:textId="77777777" w:rsidR="005807FA" w:rsidRPr="004E20AE" w:rsidRDefault="005807FA" w:rsidP="004B3C88">
            <w:pPr>
              <w:autoSpaceDE w:val="0"/>
              <w:autoSpaceDN w:val="0"/>
              <w:adjustRightInd w:val="0"/>
              <w:rPr>
                <w:rFonts w:ascii="Arial" w:hAnsi="Arial" w:cs="Arial"/>
                <w:sz w:val="20"/>
                <w:lang w:eastAsia="en-GB"/>
              </w:rPr>
            </w:pPr>
            <w:r w:rsidRPr="004E20AE">
              <w:rPr>
                <w:rFonts w:ascii="Arial" w:hAnsi="Arial" w:cs="Arial"/>
                <w:sz w:val="20"/>
                <w:lang w:eastAsia="en-GB"/>
              </w:rPr>
              <w:t>Cardiff</w:t>
            </w:r>
          </w:p>
        </w:tc>
        <w:tc>
          <w:tcPr>
            <w:tcW w:w="286" w:type="dxa"/>
            <w:shd w:val="solid" w:color="FFFFFF" w:fill="auto"/>
          </w:tcPr>
          <w:p w14:paraId="034A08C7"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tcBorders>
              <w:bottom w:val="single" w:sz="4" w:space="0" w:color="auto"/>
            </w:tcBorders>
            <w:shd w:val="solid" w:color="FFFFFF" w:fill="auto"/>
            <w:vAlign w:val="bottom"/>
          </w:tcPr>
          <w:p w14:paraId="4A3F7F74"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450,512</w:t>
            </w:r>
          </w:p>
        </w:tc>
        <w:tc>
          <w:tcPr>
            <w:tcW w:w="287" w:type="dxa"/>
            <w:shd w:val="solid" w:color="FFFFFF" w:fill="auto"/>
          </w:tcPr>
          <w:p w14:paraId="010951B9"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067" w:type="dxa"/>
            <w:tcBorders>
              <w:bottom w:val="single" w:sz="4" w:space="0" w:color="auto"/>
            </w:tcBorders>
            <w:shd w:val="solid" w:color="FFFFFF" w:fill="auto"/>
            <w:vAlign w:val="bottom"/>
          </w:tcPr>
          <w:p w14:paraId="5D90E2BF"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0</w:t>
            </w:r>
          </w:p>
        </w:tc>
        <w:tc>
          <w:tcPr>
            <w:tcW w:w="287" w:type="dxa"/>
            <w:shd w:val="solid" w:color="FFFFFF" w:fill="auto"/>
          </w:tcPr>
          <w:p w14:paraId="1A57B09A"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570" w:type="dxa"/>
            <w:tcBorders>
              <w:bottom w:val="single" w:sz="4" w:space="0" w:color="auto"/>
            </w:tcBorders>
            <w:shd w:val="solid" w:color="FFFFFF" w:fill="auto"/>
            <w:vAlign w:val="bottom"/>
          </w:tcPr>
          <w:p w14:paraId="311EC283"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469,047</w:t>
            </w:r>
          </w:p>
        </w:tc>
        <w:tc>
          <w:tcPr>
            <w:tcW w:w="286" w:type="dxa"/>
            <w:shd w:val="solid" w:color="FFFFFF" w:fill="auto"/>
          </w:tcPr>
          <w:p w14:paraId="0418E8C5" w14:textId="77777777" w:rsidR="005807FA" w:rsidRPr="004E20AE" w:rsidRDefault="005807FA" w:rsidP="004B3C88">
            <w:pPr>
              <w:autoSpaceDE w:val="0"/>
              <w:autoSpaceDN w:val="0"/>
              <w:adjustRightInd w:val="0"/>
              <w:jc w:val="right"/>
              <w:rPr>
                <w:rFonts w:ascii="Arial" w:hAnsi="Arial" w:cs="Arial"/>
                <w:sz w:val="20"/>
                <w:highlight w:val="yellow"/>
                <w:lang w:eastAsia="en-GB"/>
              </w:rPr>
            </w:pPr>
          </w:p>
        </w:tc>
        <w:tc>
          <w:tcPr>
            <w:tcW w:w="1337" w:type="dxa"/>
            <w:tcBorders>
              <w:bottom w:val="single" w:sz="4" w:space="0" w:color="auto"/>
            </w:tcBorders>
            <w:shd w:val="solid" w:color="FFFFFF" w:fill="auto"/>
            <w:vAlign w:val="bottom"/>
          </w:tcPr>
          <w:p w14:paraId="4AA6847D"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4.1%</w:t>
            </w:r>
          </w:p>
        </w:tc>
        <w:tc>
          <w:tcPr>
            <w:tcW w:w="281" w:type="dxa"/>
            <w:shd w:val="solid" w:color="FFFFFF" w:fill="auto"/>
          </w:tcPr>
          <w:p w14:paraId="71358EB7" w14:textId="77777777" w:rsidR="005807FA" w:rsidRPr="004E20AE" w:rsidRDefault="005807FA" w:rsidP="004B3C88">
            <w:pPr>
              <w:jc w:val="right"/>
              <w:rPr>
                <w:rFonts w:ascii="Arial" w:hAnsi="Arial" w:cs="Arial"/>
                <w:sz w:val="20"/>
                <w:highlight w:val="yellow"/>
                <w:lang w:eastAsia="en-GB"/>
              </w:rPr>
            </w:pPr>
          </w:p>
        </w:tc>
        <w:tc>
          <w:tcPr>
            <w:tcW w:w="572" w:type="dxa"/>
            <w:tcBorders>
              <w:bottom w:val="single" w:sz="4" w:space="0" w:color="auto"/>
            </w:tcBorders>
            <w:shd w:val="solid" w:color="FFFFFF" w:fill="auto"/>
            <w:vAlign w:val="bottom"/>
          </w:tcPr>
          <w:p w14:paraId="2EB1047C"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color w:val="000000"/>
                <w:sz w:val="20"/>
              </w:rPr>
              <w:t>15</w:t>
            </w:r>
          </w:p>
        </w:tc>
        <w:tc>
          <w:tcPr>
            <w:tcW w:w="287" w:type="dxa"/>
            <w:shd w:val="solid" w:color="FFFFFF" w:fill="auto"/>
          </w:tcPr>
          <w:p w14:paraId="5805C237" w14:textId="77777777" w:rsidR="005807FA" w:rsidRPr="004E20AE" w:rsidRDefault="005807FA" w:rsidP="004B3C88">
            <w:pPr>
              <w:jc w:val="right"/>
              <w:rPr>
                <w:rFonts w:ascii="Arial" w:hAnsi="Arial" w:cs="Arial"/>
                <w:sz w:val="20"/>
                <w:highlight w:val="yellow"/>
                <w:lang w:eastAsia="en-GB"/>
              </w:rPr>
            </w:pPr>
          </w:p>
        </w:tc>
        <w:tc>
          <w:tcPr>
            <w:tcW w:w="1348" w:type="dxa"/>
            <w:tcBorders>
              <w:bottom w:val="single" w:sz="4" w:space="0" w:color="auto"/>
            </w:tcBorders>
            <w:shd w:val="solid" w:color="FFFFFF" w:fill="auto"/>
            <w:vAlign w:val="bottom"/>
          </w:tcPr>
          <w:p w14:paraId="6FF8A885" w14:textId="77777777" w:rsidR="005807FA" w:rsidRPr="004E20AE" w:rsidRDefault="005807FA" w:rsidP="004B3C88">
            <w:pPr>
              <w:autoSpaceDE w:val="0"/>
              <w:autoSpaceDN w:val="0"/>
              <w:adjustRightInd w:val="0"/>
              <w:jc w:val="right"/>
              <w:rPr>
                <w:rFonts w:ascii="Arial" w:hAnsi="Arial" w:cs="Arial"/>
                <w:sz w:val="20"/>
                <w:lang w:eastAsia="en-GB"/>
              </w:rPr>
            </w:pPr>
            <w:r>
              <w:rPr>
                <w:rFonts w:ascii="Arial" w:hAnsi="Arial" w:cs="Arial"/>
                <w:sz w:val="20"/>
              </w:rPr>
              <w:t>28,215</w:t>
            </w:r>
          </w:p>
        </w:tc>
      </w:tr>
      <w:tr w:rsidR="005807FA" w:rsidRPr="004E20AE" w14:paraId="6E2F8ADE" w14:textId="77777777" w:rsidTr="004B3C88">
        <w:trPr>
          <w:trHeight w:val="367"/>
        </w:trPr>
        <w:tc>
          <w:tcPr>
            <w:tcW w:w="2455" w:type="dxa"/>
            <w:tcBorders>
              <w:bottom w:val="single" w:sz="4" w:space="0" w:color="auto"/>
            </w:tcBorders>
            <w:shd w:val="solid" w:color="FFFFFF" w:fill="auto"/>
            <w:vAlign w:val="bottom"/>
          </w:tcPr>
          <w:p w14:paraId="2EAC69B4" w14:textId="77777777" w:rsidR="005807FA" w:rsidRPr="004E20AE" w:rsidRDefault="005807FA" w:rsidP="004B3C88">
            <w:pPr>
              <w:autoSpaceDE w:val="0"/>
              <w:autoSpaceDN w:val="0"/>
              <w:adjustRightInd w:val="0"/>
              <w:rPr>
                <w:rFonts w:ascii="Arial" w:hAnsi="Arial" w:cs="Arial"/>
                <w:b/>
                <w:bCs/>
                <w:sz w:val="20"/>
                <w:lang w:eastAsia="en-GB"/>
              </w:rPr>
            </w:pPr>
            <w:r w:rsidRPr="004E20AE">
              <w:rPr>
                <w:rFonts w:ascii="Arial" w:hAnsi="Arial" w:cs="Arial"/>
                <w:b/>
                <w:bCs/>
                <w:sz w:val="20"/>
                <w:lang w:eastAsia="en-GB"/>
              </w:rPr>
              <w:t>All Unitary Authorities</w:t>
            </w:r>
          </w:p>
        </w:tc>
        <w:tc>
          <w:tcPr>
            <w:tcW w:w="286" w:type="dxa"/>
            <w:tcBorders>
              <w:bottom w:val="single" w:sz="4" w:space="0" w:color="auto"/>
            </w:tcBorders>
            <w:shd w:val="solid" w:color="FFFFFF" w:fill="auto"/>
            <w:vAlign w:val="bottom"/>
          </w:tcPr>
          <w:p w14:paraId="275FF203" w14:textId="77777777" w:rsidR="005807FA" w:rsidRPr="004E20AE" w:rsidRDefault="005807FA" w:rsidP="004B3C88">
            <w:pPr>
              <w:autoSpaceDE w:val="0"/>
              <w:autoSpaceDN w:val="0"/>
              <w:adjustRightInd w:val="0"/>
              <w:jc w:val="right"/>
              <w:rPr>
                <w:rFonts w:ascii="Arial" w:hAnsi="Arial" w:cs="Arial"/>
                <w:color w:val="FF0000"/>
                <w:sz w:val="20"/>
                <w:highlight w:val="yellow"/>
                <w:lang w:eastAsia="en-GB"/>
              </w:rPr>
            </w:pPr>
          </w:p>
        </w:tc>
        <w:tc>
          <w:tcPr>
            <w:tcW w:w="1427" w:type="dxa"/>
            <w:tcBorders>
              <w:bottom w:val="single" w:sz="4" w:space="0" w:color="auto"/>
            </w:tcBorders>
            <w:shd w:val="solid" w:color="FFFFFF" w:fill="auto"/>
            <w:vAlign w:val="bottom"/>
          </w:tcPr>
          <w:p w14:paraId="26D42BD7" w14:textId="77777777" w:rsidR="005807FA" w:rsidRPr="004E20AE" w:rsidRDefault="005807FA" w:rsidP="004B3C88">
            <w:pPr>
              <w:autoSpaceDE w:val="0"/>
              <w:autoSpaceDN w:val="0"/>
              <w:adjustRightInd w:val="0"/>
              <w:jc w:val="right"/>
              <w:rPr>
                <w:rFonts w:ascii="Arial" w:hAnsi="Arial" w:cs="Arial"/>
                <w:b/>
                <w:sz w:val="20"/>
                <w:highlight w:val="yellow"/>
                <w:lang w:eastAsia="en-GB"/>
              </w:rPr>
            </w:pPr>
            <w:r>
              <w:rPr>
                <w:rFonts w:ascii="Arial" w:hAnsi="Arial" w:cs="Arial"/>
                <w:b/>
                <w:bCs/>
                <w:color w:val="000000"/>
                <w:sz w:val="20"/>
              </w:rPr>
              <w:t>4,290,612</w:t>
            </w:r>
          </w:p>
        </w:tc>
        <w:tc>
          <w:tcPr>
            <w:tcW w:w="287" w:type="dxa"/>
            <w:tcBorders>
              <w:bottom w:val="single" w:sz="4" w:space="0" w:color="auto"/>
            </w:tcBorders>
            <w:shd w:val="solid" w:color="FFFFFF" w:fill="auto"/>
            <w:vAlign w:val="bottom"/>
          </w:tcPr>
          <w:p w14:paraId="34A2AD46" w14:textId="77777777" w:rsidR="005807FA" w:rsidRPr="004E20AE" w:rsidRDefault="005807FA" w:rsidP="004B3C88">
            <w:pPr>
              <w:autoSpaceDE w:val="0"/>
              <w:autoSpaceDN w:val="0"/>
              <w:adjustRightInd w:val="0"/>
              <w:jc w:val="right"/>
              <w:rPr>
                <w:rFonts w:ascii="Arial" w:hAnsi="Arial" w:cs="Arial"/>
                <w:b/>
                <w:bCs/>
                <w:sz w:val="20"/>
                <w:highlight w:val="yellow"/>
                <w:lang w:eastAsia="en-GB"/>
              </w:rPr>
            </w:pPr>
          </w:p>
        </w:tc>
        <w:tc>
          <w:tcPr>
            <w:tcW w:w="1067" w:type="dxa"/>
            <w:tcBorders>
              <w:bottom w:val="single" w:sz="4" w:space="0" w:color="auto"/>
            </w:tcBorders>
            <w:shd w:val="solid" w:color="FFFFFF" w:fill="auto"/>
            <w:vAlign w:val="bottom"/>
          </w:tcPr>
          <w:p w14:paraId="5FDE2BEC" w14:textId="77777777" w:rsidR="005807FA" w:rsidRPr="004E20AE" w:rsidRDefault="005807FA" w:rsidP="004B3C88">
            <w:pPr>
              <w:autoSpaceDE w:val="0"/>
              <w:autoSpaceDN w:val="0"/>
              <w:adjustRightInd w:val="0"/>
              <w:jc w:val="right"/>
              <w:rPr>
                <w:rFonts w:ascii="Arial" w:hAnsi="Arial" w:cs="Arial"/>
                <w:b/>
                <w:bCs/>
                <w:sz w:val="20"/>
                <w:lang w:eastAsia="en-GB"/>
              </w:rPr>
            </w:pPr>
            <w:r>
              <w:rPr>
                <w:rFonts w:ascii="Arial" w:hAnsi="Arial" w:cs="Arial"/>
                <w:b/>
                <w:bCs/>
                <w:color w:val="000000"/>
                <w:sz w:val="20"/>
              </w:rPr>
              <w:t>3,470</w:t>
            </w:r>
          </w:p>
        </w:tc>
        <w:tc>
          <w:tcPr>
            <w:tcW w:w="287" w:type="dxa"/>
            <w:tcBorders>
              <w:bottom w:val="single" w:sz="4" w:space="0" w:color="auto"/>
            </w:tcBorders>
            <w:shd w:val="solid" w:color="FFFFFF" w:fill="auto"/>
            <w:vAlign w:val="bottom"/>
          </w:tcPr>
          <w:p w14:paraId="6947E03D" w14:textId="77777777" w:rsidR="005807FA" w:rsidRPr="004E20AE" w:rsidRDefault="005807FA" w:rsidP="004B3C88">
            <w:pPr>
              <w:autoSpaceDE w:val="0"/>
              <w:autoSpaceDN w:val="0"/>
              <w:adjustRightInd w:val="0"/>
              <w:jc w:val="right"/>
              <w:rPr>
                <w:rFonts w:ascii="Arial" w:hAnsi="Arial" w:cs="Arial"/>
                <w:b/>
                <w:bCs/>
                <w:sz w:val="20"/>
                <w:highlight w:val="yellow"/>
                <w:lang w:eastAsia="en-GB"/>
              </w:rPr>
            </w:pPr>
          </w:p>
        </w:tc>
        <w:tc>
          <w:tcPr>
            <w:tcW w:w="1570" w:type="dxa"/>
            <w:tcBorders>
              <w:bottom w:val="single" w:sz="4" w:space="0" w:color="auto"/>
            </w:tcBorders>
            <w:shd w:val="solid" w:color="FFFFFF" w:fill="auto"/>
            <w:vAlign w:val="bottom"/>
          </w:tcPr>
          <w:p w14:paraId="05726665" w14:textId="77777777" w:rsidR="005807FA" w:rsidRPr="004E20AE" w:rsidRDefault="005807FA" w:rsidP="004B3C88">
            <w:pPr>
              <w:autoSpaceDE w:val="0"/>
              <w:autoSpaceDN w:val="0"/>
              <w:adjustRightInd w:val="0"/>
              <w:jc w:val="right"/>
              <w:rPr>
                <w:rFonts w:ascii="Arial" w:hAnsi="Arial" w:cs="Arial"/>
                <w:b/>
                <w:sz w:val="20"/>
                <w:highlight w:val="yellow"/>
                <w:lang w:eastAsia="en-GB"/>
              </w:rPr>
            </w:pPr>
            <w:r>
              <w:rPr>
                <w:rFonts w:ascii="Arial" w:hAnsi="Arial" w:cs="Arial"/>
                <w:b/>
                <w:bCs/>
                <w:color w:val="000000"/>
                <w:sz w:val="20"/>
              </w:rPr>
              <w:t>4,474,444</w:t>
            </w:r>
          </w:p>
        </w:tc>
        <w:tc>
          <w:tcPr>
            <w:tcW w:w="286" w:type="dxa"/>
            <w:tcBorders>
              <w:bottom w:val="single" w:sz="4" w:space="0" w:color="auto"/>
            </w:tcBorders>
            <w:shd w:val="solid" w:color="FFFFFF" w:fill="auto"/>
            <w:vAlign w:val="bottom"/>
          </w:tcPr>
          <w:p w14:paraId="10CEE931" w14:textId="77777777" w:rsidR="005807FA" w:rsidRPr="004E20AE" w:rsidRDefault="005807FA" w:rsidP="004B3C88">
            <w:pPr>
              <w:autoSpaceDE w:val="0"/>
              <w:autoSpaceDN w:val="0"/>
              <w:adjustRightInd w:val="0"/>
              <w:jc w:val="right"/>
              <w:rPr>
                <w:rFonts w:ascii="Arial" w:hAnsi="Arial" w:cs="Arial"/>
                <w:b/>
                <w:bCs/>
                <w:sz w:val="20"/>
                <w:highlight w:val="yellow"/>
                <w:lang w:eastAsia="en-GB"/>
              </w:rPr>
            </w:pPr>
          </w:p>
        </w:tc>
        <w:tc>
          <w:tcPr>
            <w:tcW w:w="1337" w:type="dxa"/>
            <w:tcBorders>
              <w:bottom w:val="single" w:sz="4" w:space="0" w:color="auto"/>
            </w:tcBorders>
            <w:shd w:val="solid" w:color="FFFFFF" w:fill="auto"/>
            <w:vAlign w:val="bottom"/>
          </w:tcPr>
          <w:p w14:paraId="6CD4AEA0" w14:textId="77777777" w:rsidR="005807FA" w:rsidRPr="004E20AE" w:rsidRDefault="005807FA" w:rsidP="004B3C88">
            <w:pPr>
              <w:autoSpaceDE w:val="0"/>
              <w:autoSpaceDN w:val="0"/>
              <w:adjustRightInd w:val="0"/>
              <w:jc w:val="right"/>
              <w:rPr>
                <w:rFonts w:ascii="Arial" w:hAnsi="Arial" w:cs="Arial"/>
                <w:b/>
                <w:bCs/>
                <w:sz w:val="20"/>
                <w:highlight w:val="yellow"/>
                <w:lang w:eastAsia="en-GB"/>
              </w:rPr>
            </w:pPr>
            <w:r>
              <w:rPr>
                <w:rFonts w:ascii="Arial" w:hAnsi="Arial" w:cs="Arial"/>
                <w:b/>
                <w:bCs/>
                <w:color w:val="000000"/>
                <w:sz w:val="20"/>
              </w:rPr>
              <w:t>4.3%</w:t>
            </w:r>
          </w:p>
        </w:tc>
        <w:tc>
          <w:tcPr>
            <w:tcW w:w="281" w:type="dxa"/>
            <w:tcBorders>
              <w:bottom w:val="single" w:sz="4" w:space="0" w:color="auto"/>
            </w:tcBorders>
            <w:shd w:val="solid" w:color="FFFFFF" w:fill="auto"/>
            <w:vAlign w:val="bottom"/>
          </w:tcPr>
          <w:p w14:paraId="363C2850" w14:textId="77777777" w:rsidR="005807FA" w:rsidRPr="004E20AE" w:rsidRDefault="005807FA" w:rsidP="004B3C88">
            <w:pPr>
              <w:autoSpaceDE w:val="0"/>
              <w:autoSpaceDN w:val="0"/>
              <w:adjustRightInd w:val="0"/>
              <w:jc w:val="right"/>
              <w:rPr>
                <w:rFonts w:ascii="Arial" w:hAnsi="Arial" w:cs="Arial"/>
                <w:b/>
                <w:bCs/>
                <w:sz w:val="20"/>
                <w:highlight w:val="yellow"/>
                <w:lang w:eastAsia="en-GB"/>
              </w:rPr>
            </w:pPr>
          </w:p>
        </w:tc>
        <w:tc>
          <w:tcPr>
            <w:tcW w:w="572" w:type="dxa"/>
            <w:tcBorders>
              <w:bottom w:val="single" w:sz="4" w:space="0" w:color="auto"/>
            </w:tcBorders>
            <w:shd w:val="solid" w:color="FFFFFF" w:fill="auto"/>
            <w:vAlign w:val="bottom"/>
          </w:tcPr>
          <w:p w14:paraId="3CE34607" w14:textId="77777777" w:rsidR="005807FA" w:rsidRPr="004E20AE" w:rsidRDefault="005807FA" w:rsidP="004B3C88">
            <w:pPr>
              <w:autoSpaceDE w:val="0"/>
              <w:autoSpaceDN w:val="0"/>
              <w:adjustRightInd w:val="0"/>
              <w:jc w:val="right"/>
              <w:rPr>
                <w:rFonts w:ascii="Arial" w:hAnsi="Arial" w:cs="Arial"/>
                <w:b/>
                <w:bCs/>
                <w:sz w:val="20"/>
                <w:highlight w:val="yellow"/>
                <w:lang w:eastAsia="en-GB"/>
              </w:rPr>
            </w:pPr>
          </w:p>
        </w:tc>
        <w:tc>
          <w:tcPr>
            <w:tcW w:w="287" w:type="dxa"/>
            <w:tcBorders>
              <w:bottom w:val="single" w:sz="4" w:space="0" w:color="auto"/>
            </w:tcBorders>
            <w:shd w:val="solid" w:color="FFFFFF" w:fill="auto"/>
            <w:vAlign w:val="bottom"/>
          </w:tcPr>
          <w:p w14:paraId="76024086" w14:textId="77777777" w:rsidR="005807FA" w:rsidRPr="004E20AE" w:rsidRDefault="005807FA" w:rsidP="004B3C88">
            <w:pPr>
              <w:autoSpaceDE w:val="0"/>
              <w:autoSpaceDN w:val="0"/>
              <w:adjustRightInd w:val="0"/>
              <w:jc w:val="right"/>
              <w:rPr>
                <w:rFonts w:ascii="Arial" w:hAnsi="Arial" w:cs="Arial"/>
                <w:b/>
                <w:bCs/>
                <w:sz w:val="20"/>
                <w:highlight w:val="yellow"/>
                <w:lang w:eastAsia="en-GB"/>
              </w:rPr>
            </w:pPr>
          </w:p>
        </w:tc>
        <w:tc>
          <w:tcPr>
            <w:tcW w:w="1348" w:type="dxa"/>
            <w:tcBorders>
              <w:bottom w:val="single" w:sz="4" w:space="0" w:color="auto"/>
            </w:tcBorders>
            <w:shd w:val="solid" w:color="FFFFFF" w:fill="auto"/>
            <w:vAlign w:val="bottom"/>
          </w:tcPr>
          <w:p w14:paraId="4F72478B" w14:textId="77777777" w:rsidR="005807FA" w:rsidRPr="00D43CC4" w:rsidRDefault="005807FA" w:rsidP="004B3C88">
            <w:pPr>
              <w:autoSpaceDE w:val="0"/>
              <w:autoSpaceDN w:val="0"/>
              <w:adjustRightInd w:val="0"/>
              <w:jc w:val="right"/>
              <w:rPr>
                <w:rFonts w:ascii="Arial" w:hAnsi="Arial" w:cs="Arial"/>
                <w:b/>
                <w:bCs/>
                <w:sz w:val="20"/>
                <w:lang w:eastAsia="en-GB"/>
              </w:rPr>
            </w:pPr>
            <w:r w:rsidRPr="00D43CC4">
              <w:rPr>
                <w:rFonts w:ascii="Arial" w:hAnsi="Arial" w:cs="Arial"/>
                <w:b/>
                <w:sz w:val="20"/>
              </w:rPr>
              <w:t>244,000</w:t>
            </w:r>
          </w:p>
        </w:tc>
      </w:tr>
    </w:tbl>
    <w:p w14:paraId="30EF4BA7" w14:textId="77777777" w:rsidR="005807FA" w:rsidRPr="004E20AE" w:rsidRDefault="005807FA" w:rsidP="005807FA">
      <w:pPr>
        <w:spacing w:before="120"/>
        <w:rPr>
          <w:rFonts w:ascii="Arial" w:hAnsi="Arial" w:cs="Arial"/>
          <w:sz w:val="20"/>
          <w:lang w:eastAsia="en-GB"/>
        </w:rPr>
      </w:pPr>
      <w:r w:rsidRPr="004E20AE">
        <w:rPr>
          <w:rFonts w:ascii="Arial" w:hAnsi="Arial" w:cs="Arial"/>
          <w:sz w:val="20"/>
          <w:lang w:eastAsia="en-GB"/>
        </w:rPr>
        <w:t>Note: Total may not sum correctly due to rounding</w:t>
      </w:r>
    </w:p>
    <w:p w14:paraId="673619CF" w14:textId="77777777" w:rsidR="00A845A9" w:rsidRPr="005807FA" w:rsidRDefault="005807FA" w:rsidP="005807FA">
      <w:pPr>
        <w:rPr>
          <w:rFonts w:ascii="Arial" w:hAnsi="Arial" w:cs="Arial"/>
          <w:sz w:val="24"/>
          <w:szCs w:val="24"/>
        </w:rPr>
      </w:pPr>
      <w:r w:rsidRPr="004E20AE">
        <w:rPr>
          <w:rFonts w:ascii="Arial" w:hAnsi="Arial" w:cs="Arial"/>
          <w:sz w:val="20"/>
          <w:lang w:eastAsia="en-GB"/>
        </w:rPr>
        <w:t xml:space="preserve">1.  </w:t>
      </w:r>
      <w:r>
        <w:rPr>
          <w:rFonts w:ascii="Arial" w:hAnsi="Arial" w:cs="Arial"/>
          <w:sz w:val="20"/>
          <w:lang w:eastAsia="en-GB"/>
        </w:rPr>
        <w:t>2019-20</w:t>
      </w:r>
      <w:r w:rsidRPr="004E20AE">
        <w:rPr>
          <w:rFonts w:ascii="Arial" w:hAnsi="Arial" w:cs="Arial"/>
          <w:sz w:val="20"/>
          <w:lang w:eastAsia="en-GB"/>
        </w:rPr>
        <w:t xml:space="preserve"> AEF adjusted transfers of £</w:t>
      </w:r>
      <w:r>
        <w:rPr>
          <w:rFonts w:ascii="Arial" w:hAnsi="Arial" w:cs="Arial"/>
          <w:sz w:val="20"/>
          <w:lang w:eastAsia="en-GB"/>
        </w:rPr>
        <w:t>53.181</w:t>
      </w:r>
      <w:r w:rsidRPr="004E20AE">
        <w:rPr>
          <w:rFonts w:ascii="Arial" w:hAnsi="Arial" w:cs="Arial"/>
          <w:sz w:val="20"/>
          <w:lang w:eastAsia="en-GB"/>
        </w:rPr>
        <w:t xml:space="preserve">m (at </w:t>
      </w:r>
      <w:r>
        <w:rPr>
          <w:rFonts w:ascii="Arial" w:hAnsi="Arial" w:cs="Arial"/>
          <w:sz w:val="20"/>
          <w:lang w:eastAsia="en-GB"/>
        </w:rPr>
        <w:t>2019-20</w:t>
      </w:r>
      <w:r w:rsidRPr="004E20AE">
        <w:rPr>
          <w:rFonts w:ascii="Arial" w:hAnsi="Arial" w:cs="Arial"/>
          <w:sz w:val="20"/>
          <w:lang w:eastAsia="en-GB"/>
        </w:rPr>
        <w:t xml:space="preserve"> prices) into the Settlement and inclusive of £</w:t>
      </w:r>
      <w:r>
        <w:rPr>
          <w:rFonts w:ascii="Arial" w:hAnsi="Arial" w:cs="Arial"/>
          <w:sz w:val="20"/>
          <w:lang w:eastAsia="en-GB"/>
        </w:rPr>
        <w:t>3.47m</w:t>
      </w:r>
      <w:r w:rsidRPr="004E20AE">
        <w:rPr>
          <w:rFonts w:ascii="Arial" w:hAnsi="Arial" w:cs="Arial"/>
          <w:sz w:val="20"/>
          <w:lang w:eastAsia="en-GB"/>
        </w:rPr>
        <w:t xml:space="preserve"> of </w:t>
      </w:r>
      <w:r>
        <w:rPr>
          <w:rFonts w:ascii="Arial" w:hAnsi="Arial" w:cs="Arial"/>
          <w:sz w:val="20"/>
          <w:lang w:eastAsia="en-GB"/>
        </w:rPr>
        <w:t>floor</w:t>
      </w:r>
      <w:r w:rsidRPr="004E20AE">
        <w:rPr>
          <w:rFonts w:ascii="Arial" w:hAnsi="Arial" w:cs="Arial"/>
          <w:sz w:val="20"/>
          <w:lang w:eastAsia="en-GB"/>
        </w:rPr>
        <w:t xml:space="preserve"> funding provided in </w:t>
      </w:r>
      <w:r>
        <w:rPr>
          <w:rFonts w:ascii="Arial" w:hAnsi="Arial" w:cs="Arial"/>
          <w:sz w:val="20"/>
          <w:lang w:eastAsia="en-GB"/>
        </w:rPr>
        <w:t>2019-20</w:t>
      </w:r>
    </w:p>
    <w:sectPr w:rsidR="00A845A9" w:rsidRPr="005807FA" w:rsidSect="009756D9">
      <w:headerReference w:type="first" r:id="rId16"/>
      <w:pgSz w:w="16838" w:h="11906" w:orient="landscape" w:code="9"/>
      <w:pgMar w:top="1134" w:right="1134" w:bottom="1134" w:left="1134"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6B4F4" w14:textId="77777777" w:rsidR="0019582E" w:rsidRDefault="0019582E">
      <w:r>
        <w:separator/>
      </w:r>
    </w:p>
  </w:endnote>
  <w:endnote w:type="continuationSeparator" w:id="0">
    <w:p w14:paraId="27A99E1E" w14:textId="77777777" w:rsidR="0019582E" w:rsidRDefault="0019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72618"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5D271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2D7A" w14:textId="6A3A0CF5"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7BE4">
      <w:rPr>
        <w:rStyle w:val="PageNumber"/>
        <w:noProof/>
      </w:rPr>
      <w:t>2</w:t>
    </w:r>
    <w:r>
      <w:rPr>
        <w:rStyle w:val="PageNumber"/>
      </w:rPr>
      <w:fldChar w:fldCharType="end"/>
    </w:r>
  </w:p>
  <w:p w14:paraId="1CF7713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A4A73" w14:textId="34420F52"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87BE4">
      <w:rPr>
        <w:rStyle w:val="PageNumber"/>
        <w:rFonts w:ascii="Arial" w:hAnsi="Arial" w:cs="Arial"/>
        <w:noProof/>
        <w:sz w:val="24"/>
        <w:szCs w:val="24"/>
      </w:rPr>
      <w:t>1</w:t>
    </w:r>
    <w:r w:rsidRPr="005D2A41">
      <w:rPr>
        <w:rStyle w:val="PageNumber"/>
        <w:rFonts w:ascii="Arial" w:hAnsi="Arial" w:cs="Arial"/>
        <w:sz w:val="24"/>
        <w:szCs w:val="24"/>
      </w:rPr>
      <w:fldChar w:fldCharType="end"/>
    </w:r>
  </w:p>
  <w:p w14:paraId="1C26EBE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272C4" w14:textId="77777777" w:rsidR="0019582E" w:rsidRDefault="0019582E">
      <w:r>
        <w:separator/>
      </w:r>
    </w:p>
  </w:footnote>
  <w:footnote w:type="continuationSeparator" w:id="0">
    <w:p w14:paraId="3E00E054" w14:textId="77777777" w:rsidR="0019582E" w:rsidRDefault="00195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3819C" w14:textId="77777777" w:rsidR="00AE064D" w:rsidRDefault="000C5E9B">
    <w:r>
      <w:rPr>
        <w:noProof/>
        <w:lang w:eastAsia="en-GB"/>
      </w:rPr>
      <w:drawing>
        <wp:anchor distT="0" distB="0" distL="114300" distR="114300" simplePos="0" relativeHeight="251659776" behindDoc="1" locked="0" layoutInCell="1" allowOverlap="1" wp14:anchorId="0EFEDF5E" wp14:editId="62CBC654">
          <wp:simplePos x="0" y="0"/>
          <wp:positionH relativeFrom="column">
            <wp:posOffset>4637405</wp:posOffset>
          </wp:positionH>
          <wp:positionV relativeFrom="paragraph">
            <wp:posOffset>-111760</wp:posOffset>
          </wp:positionV>
          <wp:extent cx="1476375" cy="1400175"/>
          <wp:effectExtent l="0" t="0" r="9525" b="9525"/>
          <wp:wrapNone/>
          <wp:docPr id="20" name="Picture 20"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760006E" w14:textId="77777777" w:rsidR="00DD4B82" w:rsidRDefault="00DD4B82">
    <w:pPr>
      <w:pStyle w:val="Header"/>
    </w:pPr>
  </w:p>
  <w:p w14:paraId="38FD7618" w14:textId="77777777" w:rsidR="00DD4B82" w:rsidRDefault="00DD4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16FC" w14:textId="77777777" w:rsidR="005807FA" w:rsidRDefault="005807FA"/>
  <w:p w14:paraId="511CA20E" w14:textId="77777777" w:rsidR="005807FA" w:rsidRDefault="005807FA">
    <w:pPr>
      <w:pStyle w:val="Header"/>
    </w:pPr>
  </w:p>
  <w:p w14:paraId="5281CB20" w14:textId="77777777" w:rsidR="005807FA" w:rsidRDefault="00580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65B5"/>
    <w:rsid w:val="0006774B"/>
    <w:rsid w:val="000767A1"/>
    <w:rsid w:val="00082B81"/>
    <w:rsid w:val="00090C3D"/>
    <w:rsid w:val="00097118"/>
    <w:rsid w:val="000C3A52"/>
    <w:rsid w:val="000C53DB"/>
    <w:rsid w:val="000C5E9B"/>
    <w:rsid w:val="000E6D6F"/>
    <w:rsid w:val="00105365"/>
    <w:rsid w:val="001155F1"/>
    <w:rsid w:val="00121AA0"/>
    <w:rsid w:val="00134918"/>
    <w:rsid w:val="001460B1"/>
    <w:rsid w:val="0017102C"/>
    <w:rsid w:val="00187BE4"/>
    <w:rsid w:val="0019582E"/>
    <w:rsid w:val="001A39E2"/>
    <w:rsid w:val="001A6AF1"/>
    <w:rsid w:val="001B027C"/>
    <w:rsid w:val="001B288D"/>
    <w:rsid w:val="001C532F"/>
    <w:rsid w:val="001E53BF"/>
    <w:rsid w:val="00214B25"/>
    <w:rsid w:val="00223E62"/>
    <w:rsid w:val="00274F08"/>
    <w:rsid w:val="00284DE0"/>
    <w:rsid w:val="002A49EA"/>
    <w:rsid w:val="002A5310"/>
    <w:rsid w:val="002B005C"/>
    <w:rsid w:val="002C57B6"/>
    <w:rsid w:val="002F0EB9"/>
    <w:rsid w:val="002F53A9"/>
    <w:rsid w:val="00314E36"/>
    <w:rsid w:val="003220C1"/>
    <w:rsid w:val="00323962"/>
    <w:rsid w:val="00323FCF"/>
    <w:rsid w:val="00356D7B"/>
    <w:rsid w:val="00357893"/>
    <w:rsid w:val="003670C1"/>
    <w:rsid w:val="00370471"/>
    <w:rsid w:val="00373E90"/>
    <w:rsid w:val="00396C23"/>
    <w:rsid w:val="003B1503"/>
    <w:rsid w:val="003B3D64"/>
    <w:rsid w:val="003C5133"/>
    <w:rsid w:val="00412673"/>
    <w:rsid w:val="0043031D"/>
    <w:rsid w:val="004663AF"/>
    <w:rsid w:val="0046757C"/>
    <w:rsid w:val="0050281F"/>
    <w:rsid w:val="00560F1F"/>
    <w:rsid w:val="00574BB3"/>
    <w:rsid w:val="005807FA"/>
    <w:rsid w:val="005A22E2"/>
    <w:rsid w:val="005B030B"/>
    <w:rsid w:val="005D2A41"/>
    <w:rsid w:val="005D7663"/>
    <w:rsid w:val="005F1659"/>
    <w:rsid w:val="00603548"/>
    <w:rsid w:val="00604BC6"/>
    <w:rsid w:val="00613C04"/>
    <w:rsid w:val="00625D77"/>
    <w:rsid w:val="00631074"/>
    <w:rsid w:val="00654C0A"/>
    <w:rsid w:val="006633C7"/>
    <w:rsid w:val="00663F04"/>
    <w:rsid w:val="00670227"/>
    <w:rsid w:val="006814BD"/>
    <w:rsid w:val="0069133F"/>
    <w:rsid w:val="006B340E"/>
    <w:rsid w:val="006B461D"/>
    <w:rsid w:val="006E0A2C"/>
    <w:rsid w:val="006E225A"/>
    <w:rsid w:val="006E5C94"/>
    <w:rsid w:val="00703993"/>
    <w:rsid w:val="007150BC"/>
    <w:rsid w:val="0073380E"/>
    <w:rsid w:val="00743B79"/>
    <w:rsid w:val="007523BC"/>
    <w:rsid w:val="00752C48"/>
    <w:rsid w:val="007A05FB"/>
    <w:rsid w:val="007B5260"/>
    <w:rsid w:val="007C24E7"/>
    <w:rsid w:val="007D1402"/>
    <w:rsid w:val="007D4A14"/>
    <w:rsid w:val="007F5E64"/>
    <w:rsid w:val="00800FA0"/>
    <w:rsid w:val="00812370"/>
    <w:rsid w:val="0082411A"/>
    <w:rsid w:val="00841628"/>
    <w:rsid w:val="00846160"/>
    <w:rsid w:val="00877BD2"/>
    <w:rsid w:val="00893336"/>
    <w:rsid w:val="008B156F"/>
    <w:rsid w:val="008B5E81"/>
    <w:rsid w:val="008B7927"/>
    <w:rsid w:val="008C2E4E"/>
    <w:rsid w:val="008D1E0B"/>
    <w:rsid w:val="008F0CC6"/>
    <w:rsid w:val="008F789E"/>
    <w:rsid w:val="00905771"/>
    <w:rsid w:val="00953A46"/>
    <w:rsid w:val="009651A2"/>
    <w:rsid w:val="00967473"/>
    <w:rsid w:val="009727E4"/>
    <w:rsid w:val="00973090"/>
    <w:rsid w:val="009756D9"/>
    <w:rsid w:val="00995EEC"/>
    <w:rsid w:val="009D26D8"/>
    <w:rsid w:val="009E380F"/>
    <w:rsid w:val="009E4974"/>
    <w:rsid w:val="009F06C3"/>
    <w:rsid w:val="00A204C9"/>
    <w:rsid w:val="00A23742"/>
    <w:rsid w:val="00A3247B"/>
    <w:rsid w:val="00A72CF3"/>
    <w:rsid w:val="00A73A0B"/>
    <w:rsid w:val="00A82A45"/>
    <w:rsid w:val="00A845A9"/>
    <w:rsid w:val="00A86958"/>
    <w:rsid w:val="00AA0F4A"/>
    <w:rsid w:val="00AA5651"/>
    <w:rsid w:val="00AA5848"/>
    <w:rsid w:val="00AA7750"/>
    <w:rsid w:val="00AD65F1"/>
    <w:rsid w:val="00AE064D"/>
    <w:rsid w:val="00AF056B"/>
    <w:rsid w:val="00B049B1"/>
    <w:rsid w:val="00B239BA"/>
    <w:rsid w:val="00B37A3B"/>
    <w:rsid w:val="00B468BB"/>
    <w:rsid w:val="00B80B53"/>
    <w:rsid w:val="00B81F17"/>
    <w:rsid w:val="00BD264F"/>
    <w:rsid w:val="00C04034"/>
    <w:rsid w:val="00C43B4A"/>
    <w:rsid w:val="00C64FA5"/>
    <w:rsid w:val="00C7160C"/>
    <w:rsid w:val="00C84A12"/>
    <w:rsid w:val="00CC3680"/>
    <w:rsid w:val="00CF3DC5"/>
    <w:rsid w:val="00D017E2"/>
    <w:rsid w:val="00D16D97"/>
    <w:rsid w:val="00D27F42"/>
    <w:rsid w:val="00D84713"/>
    <w:rsid w:val="00D97C98"/>
    <w:rsid w:val="00DD4B82"/>
    <w:rsid w:val="00E1556F"/>
    <w:rsid w:val="00E20331"/>
    <w:rsid w:val="00E3419E"/>
    <w:rsid w:val="00E47B1A"/>
    <w:rsid w:val="00E631B1"/>
    <w:rsid w:val="00EA5290"/>
    <w:rsid w:val="00EB248F"/>
    <w:rsid w:val="00EB5F93"/>
    <w:rsid w:val="00EC0568"/>
    <w:rsid w:val="00EE2292"/>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2F97A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9E380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625D77"/>
    <w:rPr>
      <w:sz w:val="16"/>
      <w:szCs w:val="16"/>
    </w:rPr>
  </w:style>
  <w:style w:type="paragraph" w:styleId="CommentText">
    <w:name w:val="annotation text"/>
    <w:basedOn w:val="Normal"/>
    <w:link w:val="CommentTextChar"/>
    <w:semiHidden/>
    <w:unhideWhenUsed/>
    <w:rsid w:val="00625D77"/>
    <w:rPr>
      <w:sz w:val="20"/>
    </w:rPr>
  </w:style>
  <w:style w:type="character" w:customStyle="1" w:styleId="CommentTextChar">
    <w:name w:val="Comment Text Char"/>
    <w:basedOn w:val="DefaultParagraphFont"/>
    <w:link w:val="CommentText"/>
    <w:semiHidden/>
    <w:rsid w:val="00625D77"/>
    <w:rPr>
      <w:rFonts w:ascii="TradeGothic" w:hAnsi="TradeGothic"/>
      <w:lang w:eastAsia="en-US"/>
    </w:rPr>
  </w:style>
  <w:style w:type="paragraph" w:styleId="CommentSubject">
    <w:name w:val="annotation subject"/>
    <w:basedOn w:val="CommentText"/>
    <w:next w:val="CommentText"/>
    <w:link w:val="CommentSubjectChar"/>
    <w:semiHidden/>
    <w:unhideWhenUsed/>
    <w:rsid w:val="00625D77"/>
    <w:rPr>
      <w:b/>
      <w:bCs/>
    </w:rPr>
  </w:style>
  <w:style w:type="character" w:customStyle="1" w:styleId="CommentSubjectChar">
    <w:name w:val="Comment Subject Char"/>
    <w:basedOn w:val="CommentTextChar"/>
    <w:link w:val="CommentSubject"/>
    <w:semiHidden/>
    <w:rsid w:val="00625D77"/>
    <w:rPr>
      <w:rFonts w:ascii="TradeGothic" w:hAnsi="TradeGothic"/>
      <w:b/>
      <w:bCs/>
      <w:lang w:eastAsia="en-US"/>
    </w:rPr>
  </w:style>
  <w:style w:type="paragraph" w:styleId="BalloonText">
    <w:name w:val="Balloon Text"/>
    <w:basedOn w:val="Normal"/>
    <w:link w:val="BalloonTextChar"/>
    <w:semiHidden/>
    <w:unhideWhenUsed/>
    <w:rsid w:val="00625D77"/>
    <w:rPr>
      <w:rFonts w:ascii="Segoe UI" w:hAnsi="Segoe UI" w:cs="Segoe UI"/>
      <w:sz w:val="18"/>
      <w:szCs w:val="18"/>
    </w:rPr>
  </w:style>
  <w:style w:type="character" w:customStyle="1" w:styleId="BalloonTextChar">
    <w:name w:val="Balloon Text Char"/>
    <w:basedOn w:val="DefaultParagraphFont"/>
    <w:link w:val="BalloonText"/>
    <w:semiHidden/>
    <w:rsid w:val="00625D7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local-government-revenue-and-capital-settlement-2020-2021&amp;data=02%7C01%7CSimon.Edwards2%40gov.wales%7C138646326da6462eea1508d7774091a2%7Ca2cc36c592804ae78887d06dab89216b%7C0%7C0%7C637108991506764178&amp;sdata=8bT1SjhCYqKKxqVuQGfNrANf5J7hde8K9VJ6G0D7Lvo%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A28355557</value>
    </field>
    <field name="Objective-Title">
      <value order="0">LGFP - Provisional Local Government Settlement 2020-21 - Written Statement - English</value>
    </field>
    <field name="Objective-Description">
      <value order="0"/>
    </field>
    <field name="Objective-CreationStamp">
      <value order="0">2019-12-05T15:48:04Z</value>
    </field>
    <field name="Objective-IsApproved">
      <value order="0">false</value>
    </field>
    <field name="Objective-IsPublished">
      <value order="0">true</value>
    </field>
    <field name="Objective-DatePublished">
      <value order="0">2019-12-16T10:37:00Z</value>
    </field>
    <field name="Objective-ModificationStamp">
      <value order="0">2019-12-16T10:39:45Z</value>
    </field>
    <field name="Objective-Owner">
      <value order="0">Edwards, Simon (EPS - LGFWP)</value>
    </field>
    <field name="Objective-Path">
      <value order="0">Objective Global Folder:Business File Plan:Education &amp; Public Services (EPS):Education &amp; Public Services (EPS) - Local Government - Finance Policy:1 - Save:Unitary Authority Settlement:Administration:2020-2021:Local Authorities - 2020-2021 - Unitary Authorities Settlement - Reports &amp; Outputs</value>
    </field>
    <field name="Objective-Parent">
      <value order="0">Local Authorities - 2020-2021 - Unitary Authorities Settlement - Reports &amp; Outputs</value>
    </field>
    <field name="Objective-State">
      <value order="0">Published</value>
    </field>
    <field name="Objective-VersionId">
      <value order="0">vA56681495</value>
    </field>
    <field name="Objective-Version">
      <value order="0">19.0</value>
    </field>
    <field name="Objective-VersionNumber">
      <value order="0">20</value>
    </field>
    <field name="Objective-VersionComment">
      <value order="0"/>
    </field>
    <field name="Objective-FileNumber">
      <value order="0">qA1379726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2019-12-16T00:00:00+00:00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877D67B-1CC1-4A42-91BE-A01FD3AFEDF7}"/>
</file>

<file path=customXml/itemProps3.xml><?xml version="1.0" encoding="utf-8"?>
<ds:datastoreItem xmlns:ds="http://schemas.openxmlformats.org/officeDocument/2006/customXml" ds:itemID="{DE378C57-E3E7-4842-87BA-70D85048AFB5}">
  <ds:schemaRefs>
    <ds:schemaRef ds:uri="http://schemas.microsoft.com/sharepoint/v3/contenttype/forms"/>
  </ds:schemaRefs>
</ds:datastoreItem>
</file>

<file path=customXml/itemProps4.xml><?xml version="1.0" encoding="utf-8"?>
<ds:datastoreItem xmlns:ds="http://schemas.openxmlformats.org/officeDocument/2006/customXml" ds:itemID="{9C54C9A3-B40A-4990-A2FE-20DC7950F1ED}">
  <ds:schemaRefs>
    <ds:schemaRef ds:uri="http://purl.org/dc/terms/"/>
    <ds:schemaRef ds:uri="http://schemas.microsoft.com/office/2006/documentManagement/types"/>
    <ds:schemaRef ds:uri="http://purl.org/dc/elements/1.1/"/>
    <ds:schemaRef ds:uri="http://schemas.microsoft.com/office/2006/metadata/properties"/>
    <ds:schemaRef ds:uri="fad5256b-9034-4098-a484-2992d39a629e"/>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Local Government Settlement 2020-21</dc:title>
  <dc:creator>burnsc</dc:creator>
  <cp:lastModifiedBy>Oxenham, James (OFM - Cabinet Division)</cp:lastModifiedBy>
  <cp:revision>3</cp:revision>
  <cp:lastPrinted>2019-12-06T15:19:00Z</cp:lastPrinted>
  <dcterms:created xsi:type="dcterms:W3CDTF">2019-12-16T10:48:00Z</dcterms:created>
  <dcterms:modified xsi:type="dcterms:W3CDTF">2019-12-16T10:49:00Z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A28355557</vt:lpwstr>
  </property>
  <property fmtid="{D5CDD505-2E9C-101B-9397-08002B2CF9AE}" pid="4" name="Objective-Title">
    <vt:lpwstr>LGFP - Provisional Local Government Settlement 2020-21 - Written Statement - English</vt:lpwstr>
  </property>
  <property fmtid="{D5CDD505-2E9C-101B-9397-08002B2CF9AE}" pid="5" name="Objective-Comment">
    <vt:lpwstr/>
  </property>
  <property fmtid="{D5CDD505-2E9C-101B-9397-08002B2CF9AE}" pid="6" name="Objective-CreationStamp">
    <vt:filetime>2019-12-05T15:48:16Z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2019-12-16T10:37:00Z</vt:filetime>
  </property>
  <property fmtid="{D5CDD505-2E9C-101B-9397-08002B2CF9AE}" pid="10" name="Objective-ModificationStamp">
    <vt:filetime>2019-12-16T10:37:00Z</vt:filetime>
  </property>
  <property fmtid="{D5CDD505-2E9C-101B-9397-08002B2CF9AE}" pid="11" name="Objective-Owner">
    <vt:lpwstr>Edwards, Simon (EPS - LGFWP)</vt:lpwstr>
  </property>
  <property fmtid="{D5CDD505-2E9C-101B-9397-08002B2CF9AE}" pid="12" name="Objective-Path">
    <vt:lpwstr>Objective Global Folder:Business File Plan:Education &amp; Public Services (EPS):Education &amp; Public Services (EPS) - Local Government - Finance Policy:1 - Save:Unitary Authority Settlement:Administration:2020-2021:Local Authorities - 2020-2021 - Unitary Autho</vt:lpwstr>
  </property>
  <property fmtid="{D5CDD505-2E9C-101B-9397-08002B2CF9AE}" pid="13" name="Objective-Parent">
    <vt:lpwstr>Local Authorities - 2020-2021 - Unitary Authorities Settlement - Reports &amp; Outputs</vt:lpwstr>
  </property>
  <property fmtid="{D5CDD505-2E9C-101B-9397-08002B2CF9AE}" pid="14" name="Objective-State">
    <vt:lpwstr>Published</vt:lpwstr>
  </property>
  <property fmtid="{D5CDD505-2E9C-101B-9397-08002B2CF9AE}" pid="15" name="Objective-Version">
    <vt:lpwstr>19.0</vt:lpwstr>
  </property>
  <property fmtid="{D5CDD505-2E9C-101B-9397-08002B2CF9AE}" pid="16" name="Objective-VersionNumber">
    <vt:r8>20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vA56681495</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