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0CD" w:rsidRPr="00A52A00" w:rsidRDefault="00CB60CD" w:rsidP="00BD459D">
      <w:pPr>
        <w:keepLines/>
        <w:ind w:left="6480"/>
        <w:rPr>
          <w:color w:val="FF0000"/>
          <w:sz w:val="20"/>
          <w:szCs w:val="20"/>
          <w:lang w:val="cy-GB"/>
        </w:rPr>
      </w:pPr>
    </w:p>
    <w:p w:rsidR="00CB60CD" w:rsidRPr="00A52A00" w:rsidRDefault="00562F2D" w:rsidP="00BD459D">
      <w:pPr>
        <w:keepLines/>
        <w:ind w:left="6480"/>
        <w:rPr>
          <w:color w:val="FF0000"/>
          <w:lang w:val="cy-GB"/>
        </w:rPr>
      </w:pPr>
      <w:r>
        <w:rPr>
          <w:noProof/>
        </w:rPr>
        <w:drawing>
          <wp:anchor distT="0" distB="0" distL="114300" distR="114300" simplePos="0" relativeHeight="251657728" behindDoc="1" locked="0" layoutInCell="1" allowOverlap="1">
            <wp:simplePos x="0" y="0"/>
            <wp:positionH relativeFrom="column">
              <wp:posOffset>4239260</wp:posOffset>
            </wp:positionH>
            <wp:positionV relativeFrom="paragraph">
              <wp:posOffset>-715010</wp:posOffset>
            </wp:positionV>
            <wp:extent cx="1476375" cy="1400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CB60CD" w:rsidRPr="00A52A00" w:rsidRDefault="00CB60CD" w:rsidP="00BD459D">
      <w:pPr>
        <w:keepLines/>
        <w:rPr>
          <w:color w:val="FF0000"/>
          <w:lang w:val="cy-GB"/>
        </w:rPr>
      </w:pPr>
    </w:p>
    <w:p w:rsidR="00CB60CD" w:rsidRPr="00A52A00" w:rsidRDefault="00CB60CD" w:rsidP="00BD459D">
      <w:pPr>
        <w:keepLines/>
        <w:rPr>
          <w:color w:val="FF0000"/>
          <w:lang w:val="cy-GB"/>
        </w:rPr>
      </w:pPr>
    </w:p>
    <w:p w:rsidR="00CB60CD" w:rsidRPr="00A52A00" w:rsidRDefault="00CB60CD" w:rsidP="00BD459D">
      <w:pPr>
        <w:keepLines/>
        <w:jc w:val="right"/>
        <w:rPr>
          <w:b/>
          <w:bCs/>
          <w:color w:val="FF0000"/>
          <w:sz w:val="20"/>
          <w:szCs w:val="20"/>
          <w:lang w:val="cy-GB"/>
        </w:rPr>
      </w:pPr>
    </w:p>
    <w:p w:rsidR="00793DDB" w:rsidRPr="00A52A00" w:rsidRDefault="00793DDB" w:rsidP="00BD459D">
      <w:pPr>
        <w:pStyle w:val="Heading1"/>
        <w:keepLines/>
        <w:rPr>
          <w:color w:val="FF0000"/>
          <w:lang w:val="cy-GB"/>
        </w:rPr>
      </w:pPr>
    </w:p>
    <w:p w:rsidR="00793DDB" w:rsidRPr="00A52A00" w:rsidRDefault="00793DDB" w:rsidP="00BD459D">
      <w:pPr>
        <w:pStyle w:val="Heading1"/>
        <w:keepLines/>
        <w:rPr>
          <w:color w:val="FF0000"/>
          <w:lang w:val="cy-GB"/>
        </w:rPr>
      </w:pPr>
    </w:p>
    <w:tbl>
      <w:tblPr>
        <w:tblW w:w="0" w:type="auto"/>
        <w:tblBorders>
          <w:top w:val="single" w:sz="18" w:space="0" w:color="FF0000"/>
          <w:bottom w:val="single" w:sz="18" w:space="0" w:color="FF0000"/>
        </w:tblBorders>
        <w:tblLook w:val="04A0" w:firstRow="1" w:lastRow="0" w:firstColumn="1" w:lastColumn="0" w:noHBand="0" w:noVBand="1"/>
      </w:tblPr>
      <w:tblGrid>
        <w:gridCol w:w="9070"/>
      </w:tblGrid>
      <w:tr w:rsidR="004618AB" w:rsidRPr="00A52A00" w:rsidTr="00D21927">
        <w:tc>
          <w:tcPr>
            <w:tcW w:w="9572" w:type="dxa"/>
            <w:tcBorders>
              <w:top w:val="single" w:sz="18" w:space="0" w:color="FF0000"/>
              <w:bottom w:val="single" w:sz="18" w:space="0" w:color="FF0000"/>
            </w:tcBorders>
          </w:tcPr>
          <w:p w:rsidR="001E26E9" w:rsidRPr="00A52A00" w:rsidRDefault="001E26E9" w:rsidP="00BD459D">
            <w:pPr>
              <w:pStyle w:val="Heading1"/>
              <w:keepLines/>
              <w:jc w:val="center"/>
              <w:rPr>
                <w:rFonts w:ascii="Times New Roman" w:hAnsi="Times New Roman" w:cs="Times New Roman"/>
                <w:color w:val="FF0000"/>
                <w:sz w:val="40"/>
                <w:szCs w:val="40"/>
                <w:lang w:val="cy-GB"/>
              </w:rPr>
            </w:pPr>
          </w:p>
          <w:p w:rsidR="00A52A00" w:rsidRDefault="00A53F42" w:rsidP="00BD459D">
            <w:pPr>
              <w:pStyle w:val="Heading1"/>
              <w:keepLines/>
              <w:jc w:val="center"/>
              <w:rPr>
                <w:rFonts w:ascii="Times New Roman" w:hAnsi="Times New Roman" w:cs="Times New Roman"/>
                <w:color w:val="FF0000"/>
                <w:sz w:val="40"/>
                <w:szCs w:val="40"/>
                <w:lang w:val="cy-GB"/>
              </w:rPr>
            </w:pPr>
            <w:r>
              <w:rPr>
                <w:rFonts w:ascii="Times New Roman" w:hAnsi="Times New Roman" w:cs="Times New Roman"/>
                <w:color w:val="FF0000"/>
                <w:sz w:val="40"/>
                <w:szCs w:val="40"/>
                <w:lang w:val="cy-GB"/>
              </w:rPr>
              <w:t>WRITTEN STATEMENT</w:t>
            </w:r>
          </w:p>
          <w:p w:rsidR="004618AB" w:rsidRPr="00A52A00" w:rsidRDefault="00A53F42" w:rsidP="00BD459D">
            <w:pPr>
              <w:pStyle w:val="Heading1"/>
              <w:keepLines/>
              <w:jc w:val="center"/>
              <w:rPr>
                <w:rFonts w:ascii="Times New Roman" w:hAnsi="Times New Roman" w:cs="Times New Roman"/>
                <w:color w:val="FF0000"/>
                <w:sz w:val="40"/>
                <w:szCs w:val="40"/>
                <w:lang w:val="cy-GB"/>
              </w:rPr>
            </w:pPr>
            <w:r>
              <w:rPr>
                <w:rFonts w:ascii="Times New Roman" w:hAnsi="Times New Roman" w:cs="Times New Roman"/>
                <w:color w:val="FF0000"/>
                <w:sz w:val="40"/>
                <w:szCs w:val="40"/>
                <w:lang w:val="cy-GB"/>
              </w:rPr>
              <w:t>BY</w:t>
            </w:r>
          </w:p>
          <w:p w:rsidR="004618AB" w:rsidRPr="00A52A00" w:rsidRDefault="00A53F42" w:rsidP="00BD459D">
            <w:pPr>
              <w:pStyle w:val="Heading1"/>
              <w:keepLines/>
              <w:jc w:val="center"/>
              <w:rPr>
                <w:rFonts w:ascii="Times New Roman" w:hAnsi="Times New Roman" w:cs="Times New Roman"/>
                <w:color w:val="FF0000"/>
                <w:sz w:val="40"/>
                <w:szCs w:val="40"/>
                <w:lang w:val="cy-GB"/>
              </w:rPr>
            </w:pPr>
            <w:r>
              <w:rPr>
                <w:rFonts w:ascii="Times New Roman" w:hAnsi="Times New Roman" w:cs="Times New Roman"/>
                <w:color w:val="FF0000"/>
                <w:sz w:val="40"/>
                <w:szCs w:val="40"/>
                <w:lang w:val="cy-GB"/>
              </w:rPr>
              <w:t>THE WELSH</w:t>
            </w:r>
            <w:r w:rsidRPr="00A53F42">
              <w:rPr>
                <w:rFonts w:ascii="Times New Roman" w:hAnsi="Times New Roman" w:cs="Times New Roman"/>
                <w:color w:val="FF0000"/>
                <w:sz w:val="40"/>
                <w:szCs w:val="40"/>
                <w:lang w:val="cy-GB"/>
              </w:rPr>
              <w:t xml:space="preserve"> </w:t>
            </w:r>
            <w:r>
              <w:rPr>
                <w:rFonts w:ascii="Times New Roman" w:hAnsi="Times New Roman" w:cs="Times New Roman"/>
                <w:color w:val="FF0000"/>
                <w:sz w:val="40"/>
                <w:szCs w:val="40"/>
                <w:lang w:val="cy-GB"/>
              </w:rPr>
              <w:t>GOVERNMENT</w:t>
            </w:r>
          </w:p>
          <w:p w:rsidR="004618AB" w:rsidRPr="00A52A00" w:rsidRDefault="004618AB" w:rsidP="00BD459D">
            <w:pPr>
              <w:keepLines/>
              <w:autoSpaceDE w:val="0"/>
              <w:autoSpaceDN w:val="0"/>
              <w:jc w:val="center"/>
              <w:rPr>
                <w:color w:val="FF0000"/>
                <w:sz w:val="40"/>
                <w:szCs w:val="40"/>
                <w:lang w:val="cy-GB"/>
              </w:rPr>
            </w:pPr>
          </w:p>
        </w:tc>
      </w:tr>
    </w:tbl>
    <w:p w:rsidR="004618AB" w:rsidRPr="00A52A00" w:rsidRDefault="004618AB" w:rsidP="00BD459D">
      <w:pPr>
        <w:keepLines/>
        <w:rPr>
          <w:color w:val="FF0000"/>
          <w:lang w:val="cy-GB"/>
        </w:rPr>
      </w:pPr>
    </w:p>
    <w:tbl>
      <w:tblPr>
        <w:tblW w:w="9299" w:type="dxa"/>
        <w:tblLayout w:type="fixed"/>
        <w:tblCellMar>
          <w:left w:w="57" w:type="dxa"/>
          <w:right w:w="57" w:type="dxa"/>
        </w:tblCellMar>
        <w:tblLook w:val="01E0" w:firstRow="1" w:lastRow="1" w:firstColumn="1" w:lastColumn="1" w:noHBand="0" w:noVBand="0"/>
      </w:tblPr>
      <w:tblGrid>
        <w:gridCol w:w="1418"/>
        <w:gridCol w:w="7881"/>
      </w:tblGrid>
      <w:tr w:rsidR="00CB60CD" w:rsidRPr="00A52A00" w:rsidTr="008236D1">
        <w:tc>
          <w:tcPr>
            <w:tcW w:w="1418" w:type="dxa"/>
            <w:vAlign w:val="center"/>
          </w:tcPr>
          <w:p w:rsidR="00CB60CD" w:rsidRPr="008236D1" w:rsidRDefault="00A53F42" w:rsidP="00BD459D">
            <w:pPr>
              <w:keepLines/>
              <w:autoSpaceDE w:val="0"/>
              <w:autoSpaceDN w:val="0"/>
              <w:spacing w:before="120" w:after="120"/>
              <w:rPr>
                <w:rFonts w:ascii="Arial" w:hAnsi="Arial" w:cs="Arial"/>
                <w:b/>
                <w:bCs/>
                <w:szCs w:val="28"/>
              </w:rPr>
            </w:pPr>
            <w:r w:rsidRPr="008236D1">
              <w:rPr>
                <w:rFonts w:ascii="Arial" w:hAnsi="Arial" w:cs="Arial"/>
                <w:b/>
                <w:bCs/>
                <w:szCs w:val="28"/>
              </w:rPr>
              <w:t>Title</w:t>
            </w:r>
          </w:p>
        </w:tc>
        <w:tc>
          <w:tcPr>
            <w:tcW w:w="7881" w:type="dxa"/>
            <w:vAlign w:val="center"/>
          </w:tcPr>
          <w:p w:rsidR="00CB60CD" w:rsidRPr="008236D1" w:rsidRDefault="00A53F42" w:rsidP="00BD459D">
            <w:pPr>
              <w:keepLines/>
              <w:autoSpaceDE w:val="0"/>
              <w:autoSpaceDN w:val="0"/>
              <w:spacing w:before="120" w:after="120"/>
              <w:ind w:left="1365" w:hanging="1365"/>
              <w:jc w:val="both"/>
              <w:rPr>
                <w:rFonts w:ascii="Arial" w:hAnsi="Arial" w:cs="Arial"/>
                <w:b/>
                <w:bCs/>
                <w:szCs w:val="28"/>
              </w:rPr>
            </w:pPr>
            <w:bookmarkStart w:id="0" w:name="_GoBack"/>
            <w:r w:rsidRPr="008236D1">
              <w:rPr>
                <w:rFonts w:ascii="Arial" w:hAnsi="Arial" w:cs="Arial"/>
                <w:b/>
                <w:bCs/>
                <w:szCs w:val="28"/>
              </w:rPr>
              <w:t xml:space="preserve">Provisional Local Government Settlement </w:t>
            </w:r>
            <w:r w:rsidR="00A56689" w:rsidRPr="008236D1">
              <w:rPr>
                <w:rFonts w:ascii="Arial" w:hAnsi="Arial" w:cs="Arial"/>
                <w:b/>
                <w:bCs/>
                <w:szCs w:val="28"/>
              </w:rPr>
              <w:t>2019-20</w:t>
            </w:r>
            <w:bookmarkEnd w:id="0"/>
          </w:p>
        </w:tc>
      </w:tr>
      <w:tr w:rsidR="00CB60CD" w:rsidRPr="00A52A00" w:rsidTr="008236D1">
        <w:tc>
          <w:tcPr>
            <w:tcW w:w="1418" w:type="dxa"/>
            <w:vAlign w:val="center"/>
          </w:tcPr>
          <w:p w:rsidR="00CB60CD" w:rsidRPr="008236D1" w:rsidRDefault="00A53F42" w:rsidP="00BD459D">
            <w:pPr>
              <w:keepLines/>
              <w:autoSpaceDE w:val="0"/>
              <w:autoSpaceDN w:val="0"/>
              <w:spacing w:before="120" w:after="120"/>
              <w:rPr>
                <w:rFonts w:ascii="Arial" w:hAnsi="Arial" w:cs="Arial"/>
                <w:b/>
                <w:bCs/>
                <w:szCs w:val="28"/>
              </w:rPr>
            </w:pPr>
            <w:r w:rsidRPr="008236D1">
              <w:rPr>
                <w:rFonts w:ascii="Arial" w:hAnsi="Arial" w:cs="Arial"/>
                <w:b/>
                <w:bCs/>
                <w:szCs w:val="28"/>
              </w:rPr>
              <w:t>Date</w:t>
            </w:r>
          </w:p>
        </w:tc>
        <w:tc>
          <w:tcPr>
            <w:tcW w:w="7881" w:type="dxa"/>
            <w:vAlign w:val="center"/>
          </w:tcPr>
          <w:p w:rsidR="00CB60CD" w:rsidRPr="008236D1" w:rsidRDefault="008236D1" w:rsidP="00BD459D">
            <w:pPr>
              <w:keepLines/>
              <w:autoSpaceDE w:val="0"/>
              <w:autoSpaceDN w:val="0"/>
              <w:spacing w:before="120" w:after="120"/>
              <w:rPr>
                <w:rFonts w:ascii="Arial" w:hAnsi="Arial" w:cs="Arial"/>
                <w:b/>
                <w:bCs/>
                <w:szCs w:val="28"/>
              </w:rPr>
            </w:pPr>
            <w:r w:rsidRPr="008236D1">
              <w:rPr>
                <w:rFonts w:ascii="Arial" w:hAnsi="Arial" w:cs="Arial"/>
                <w:b/>
                <w:szCs w:val="28"/>
              </w:rPr>
              <w:t>0</w:t>
            </w:r>
            <w:r w:rsidR="00A56689" w:rsidRPr="008236D1">
              <w:rPr>
                <w:rFonts w:ascii="Arial" w:hAnsi="Arial" w:cs="Arial"/>
                <w:b/>
                <w:szCs w:val="28"/>
              </w:rPr>
              <w:t>9</w:t>
            </w:r>
            <w:r w:rsidR="00ED4B38" w:rsidRPr="008236D1">
              <w:rPr>
                <w:rFonts w:ascii="Arial" w:hAnsi="Arial" w:cs="Arial"/>
                <w:b/>
                <w:szCs w:val="28"/>
              </w:rPr>
              <w:t xml:space="preserve"> </w:t>
            </w:r>
            <w:r w:rsidR="00A53F42" w:rsidRPr="008236D1">
              <w:rPr>
                <w:rFonts w:ascii="Arial" w:hAnsi="Arial" w:cs="Arial"/>
                <w:b/>
                <w:szCs w:val="28"/>
              </w:rPr>
              <w:t>October 201</w:t>
            </w:r>
            <w:r w:rsidR="00A56689" w:rsidRPr="008236D1">
              <w:rPr>
                <w:rFonts w:ascii="Arial" w:hAnsi="Arial" w:cs="Arial"/>
                <w:b/>
                <w:szCs w:val="28"/>
              </w:rPr>
              <w:t>8</w:t>
            </w:r>
          </w:p>
        </w:tc>
      </w:tr>
      <w:tr w:rsidR="00CB60CD" w:rsidRPr="00A52A00" w:rsidTr="008236D1">
        <w:tc>
          <w:tcPr>
            <w:tcW w:w="1418" w:type="dxa"/>
          </w:tcPr>
          <w:p w:rsidR="00CB60CD" w:rsidRPr="008236D1" w:rsidRDefault="00A53F42" w:rsidP="00BD459D">
            <w:pPr>
              <w:keepLines/>
              <w:autoSpaceDE w:val="0"/>
              <w:autoSpaceDN w:val="0"/>
              <w:spacing w:before="120" w:after="120"/>
              <w:rPr>
                <w:rFonts w:ascii="Arial" w:hAnsi="Arial" w:cs="Arial"/>
                <w:b/>
                <w:bCs/>
                <w:szCs w:val="28"/>
              </w:rPr>
            </w:pPr>
            <w:r w:rsidRPr="008236D1">
              <w:rPr>
                <w:rFonts w:ascii="Arial" w:hAnsi="Arial" w:cs="Arial"/>
                <w:b/>
                <w:bCs/>
                <w:szCs w:val="28"/>
              </w:rPr>
              <w:t>By</w:t>
            </w:r>
          </w:p>
        </w:tc>
        <w:tc>
          <w:tcPr>
            <w:tcW w:w="7881" w:type="dxa"/>
            <w:vAlign w:val="center"/>
          </w:tcPr>
          <w:p w:rsidR="00CB60CD" w:rsidRPr="008236D1" w:rsidRDefault="00A56689" w:rsidP="008236D1">
            <w:pPr>
              <w:keepLines/>
              <w:autoSpaceDE w:val="0"/>
              <w:autoSpaceDN w:val="0"/>
              <w:spacing w:before="120" w:after="120"/>
              <w:rPr>
                <w:rFonts w:ascii="Arial" w:hAnsi="Arial" w:cs="Arial"/>
                <w:b/>
                <w:bCs/>
                <w:szCs w:val="28"/>
              </w:rPr>
            </w:pPr>
            <w:r w:rsidRPr="008236D1">
              <w:rPr>
                <w:rFonts w:ascii="Arial" w:hAnsi="Arial" w:cs="Arial"/>
                <w:b/>
                <w:bCs/>
                <w:szCs w:val="28"/>
              </w:rPr>
              <w:t>Alun Davies</w:t>
            </w:r>
            <w:r w:rsidR="00A52A00" w:rsidRPr="008236D1">
              <w:rPr>
                <w:rFonts w:ascii="Arial" w:hAnsi="Arial" w:cs="Arial"/>
                <w:b/>
                <w:bCs/>
                <w:szCs w:val="28"/>
              </w:rPr>
              <w:t xml:space="preserve"> A</w:t>
            </w:r>
            <w:r w:rsidR="00276B21" w:rsidRPr="008236D1">
              <w:rPr>
                <w:rFonts w:ascii="Arial" w:hAnsi="Arial" w:cs="Arial"/>
                <w:b/>
                <w:bCs/>
                <w:szCs w:val="28"/>
              </w:rPr>
              <w:t>M</w:t>
            </w:r>
            <w:r w:rsidR="008236D1" w:rsidRPr="008236D1">
              <w:rPr>
                <w:rFonts w:ascii="Arial" w:hAnsi="Arial" w:cs="Arial"/>
                <w:b/>
                <w:bCs/>
                <w:szCs w:val="28"/>
              </w:rPr>
              <w:t xml:space="preserve">, </w:t>
            </w:r>
            <w:r w:rsidR="00A53F42" w:rsidRPr="008236D1">
              <w:rPr>
                <w:rFonts w:ascii="Arial" w:hAnsi="Arial" w:cs="Arial"/>
                <w:b/>
                <w:bCs/>
                <w:szCs w:val="28"/>
              </w:rPr>
              <w:t>Cabinet Secretary for Local Government</w:t>
            </w:r>
            <w:r w:rsidRPr="008236D1">
              <w:rPr>
                <w:rFonts w:ascii="Arial" w:hAnsi="Arial" w:cs="Arial"/>
                <w:b/>
                <w:bCs/>
                <w:szCs w:val="28"/>
              </w:rPr>
              <w:t xml:space="preserve"> and Public Services</w:t>
            </w:r>
          </w:p>
        </w:tc>
      </w:tr>
    </w:tbl>
    <w:p w:rsidR="00DE256B" w:rsidRDefault="00DE256B" w:rsidP="00BD459D">
      <w:pPr>
        <w:keepLines/>
      </w:pPr>
    </w:p>
    <w:p w:rsidR="009869AD" w:rsidRPr="00BD459D" w:rsidRDefault="000062FA" w:rsidP="00CE58B7">
      <w:pPr>
        <w:keepLines/>
        <w:rPr>
          <w:rFonts w:ascii="Arial" w:hAnsi="Arial" w:cs="Arial"/>
        </w:rPr>
      </w:pPr>
      <w:r w:rsidRPr="00BD459D">
        <w:rPr>
          <w:rFonts w:ascii="Arial" w:hAnsi="Arial" w:cs="Arial"/>
        </w:rPr>
        <w:t xml:space="preserve">Following the </w:t>
      </w:r>
      <w:r w:rsidR="004364AE" w:rsidRPr="00BD459D">
        <w:rPr>
          <w:rFonts w:ascii="Arial" w:hAnsi="Arial" w:cs="Arial"/>
        </w:rPr>
        <w:t>announcement last week</w:t>
      </w:r>
      <w:r w:rsidRPr="00BD459D">
        <w:rPr>
          <w:rFonts w:ascii="Arial" w:hAnsi="Arial" w:cs="Arial"/>
        </w:rPr>
        <w:t>, by the Cabinet Secretary for Finance,</w:t>
      </w:r>
      <w:r w:rsidR="004364AE" w:rsidRPr="00BD459D">
        <w:rPr>
          <w:rFonts w:ascii="Arial" w:hAnsi="Arial" w:cs="Arial"/>
        </w:rPr>
        <w:t xml:space="preserve"> of the </w:t>
      </w:r>
      <w:r w:rsidR="004E49CD" w:rsidRPr="00BD459D">
        <w:rPr>
          <w:rFonts w:ascii="Arial" w:hAnsi="Arial" w:cs="Arial"/>
        </w:rPr>
        <w:t>outline</w:t>
      </w:r>
      <w:r w:rsidR="004364AE" w:rsidRPr="00BD459D">
        <w:rPr>
          <w:rFonts w:ascii="Arial" w:hAnsi="Arial" w:cs="Arial"/>
        </w:rPr>
        <w:t xml:space="preserve"> Draft Budget</w:t>
      </w:r>
      <w:r w:rsidR="004E49CD" w:rsidRPr="00BD459D">
        <w:rPr>
          <w:rFonts w:ascii="Arial" w:hAnsi="Arial" w:cs="Arial"/>
        </w:rPr>
        <w:t xml:space="preserve"> 2019-20</w:t>
      </w:r>
      <w:r w:rsidR="004364AE" w:rsidRPr="00BD459D">
        <w:rPr>
          <w:rFonts w:ascii="Arial" w:hAnsi="Arial" w:cs="Arial"/>
        </w:rPr>
        <w:t>, details of the core funding allocations for local authorities for 201</w:t>
      </w:r>
      <w:r w:rsidRPr="00BD459D">
        <w:rPr>
          <w:rFonts w:ascii="Arial" w:hAnsi="Arial" w:cs="Arial"/>
        </w:rPr>
        <w:t>9</w:t>
      </w:r>
      <w:r w:rsidR="004364AE" w:rsidRPr="00BD459D">
        <w:rPr>
          <w:rFonts w:ascii="Arial" w:hAnsi="Arial" w:cs="Arial"/>
        </w:rPr>
        <w:t>-</w:t>
      </w:r>
      <w:r w:rsidRPr="00BD459D">
        <w:rPr>
          <w:rFonts w:ascii="Arial" w:hAnsi="Arial" w:cs="Arial"/>
        </w:rPr>
        <w:t>20</w:t>
      </w:r>
      <w:r w:rsidR="0093165E">
        <w:rPr>
          <w:rFonts w:ascii="Arial" w:hAnsi="Arial" w:cs="Arial"/>
        </w:rPr>
        <w:t xml:space="preserve"> are published today</w:t>
      </w:r>
      <w:r w:rsidR="001A7A91">
        <w:rPr>
          <w:rFonts w:ascii="Arial" w:hAnsi="Arial" w:cs="Arial"/>
        </w:rPr>
        <w:t xml:space="preserve">.  </w:t>
      </w:r>
      <w:r w:rsidR="00EC663A">
        <w:rPr>
          <w:rFonts w:ascii="Arial" w:hAnsi="Arial" w:cs="Arial"/>
        </w:rPr>
        <w:t>The Welsh Government’s budget statement sets out the context for this year</w:t>
      </w:r>
      <w:r w:rsidR="0093165E">
        <w:rPr>
          <w:rFonts w:ascii="Arial" w:hAnsi="Arial" w:cs="Arial"/>
        </w:rPr>
        <w:t>’</w:t>
      </w:r>
      <w:r w:rsidR="00EC663A">
        <w:rPr>
          <w:rFonts w:ascii="Arial" w:hAnsi="Arial" w:cs="Arial"/>
        </w:rPr>
        <w:t xml:space="preserve">s </w:t>
      </w:r>
      <w:r w:rsidR="00DF5ACA">
        <w:rPr>
          <w:rFonts w:ascii="Arial" w:hAnsi="Arial" w:cs="Arial"/>
        </w:rPr>
        <w:t>l</w:t>
      </w:r>
      <w:r w:rsidR="00EC663A">
        <w:rPr>
          <w:rFonts w:ascii="Arial" w:hAnsi="Arial" w:cs="Arial"/>
        </w:rPr>
        <w:t xml:space="preserve">ocal </w:t>
      </w:r>
      <w:r w:rsidR="00DF5ACA">
        <w:rPr>
          <w:rFonts w:ascii="Arial" w:hAnsi="Arial" w:cs="Arial"/>
        </w:rPr>
        <w:t>g</w:t>
      </w:r>
      <w:r w:rsidR="00EC663A">
        <w:rPr>
          <w:rFonts w:ascii="Arial" w:hAnsi="Arial" w:cs="Arial"/>
        </w:rPr>
        <w:t xml:space="preserve">overnment </w:t>
      </w:r>
      <w:r w:rsidR="00DF5ACA">
        <w:rPr>
          <w:rFonts w:ascii="Arial" w:hAnsi="Arial" w:cs="Arial"/>
        </w:rPr>
        <w:t>s</w:t>
      </w:r>
      <w:r w:rsidR="00EC663A">
        <w:rPr>
          <w:rFonts w:ascii="Arial" w:hAnsi="Arial" w:cs="Arial"/>
        </w:rPr>
        <w:t>ettlement</w:t>
      </w:r>
      <w:r w:rsidR="00AF7E62">
        <w:rPr>
          <w:rFonts w:ascii="Arial" w:hAnsi="Arial" w:cs="Arial"/>
        </w:rPr>
        <w:t xml:space="preserve"> </w:t>
      </w:r>
      <w:r w:rsidR="0093165E">
        <w:rPr>
          <w:rFonts w:ascii="Arial" w:hAnsi="Arial" w:cs="Arial"/>
        </w:rPr>
        <w:t>–</w:t>
      </w:r>
      <w:r w:rsidR="00AF7E62">
        <w:rPr>
          <w:rFonts w:ascii="Arial" w:hAnsi="Arial" w:cs="Arial"/>
        </w:rPr>
        <w:t xml:space="preserve"> the uncertainty surrounding the arrangements for leaving the EU, the forthcoming UK Autumn </w:t>
      </w:r>
      <w:r w:rsidR="0093165E">
        <w:rPr>
          <w:rFonts w:ascii="Arial" w:hAnsi="Arial" w:cs="Arial"/>
        </w:rPr>
        <w:t>Budget</w:t>
      </w:r>
      <w:r w:rsidR="00AF7E62">
        <w:rPr>
          <w:rFonts w:ascii="Arial" w:hAnsi="Arial" w:cs="Arial"/>
        </w:rPr>
        <w:t xml:space="preserve"> and the </w:t>
      </w:r>
      <w:r w:rsidR="0093165E">
        <w:rPr>
          <w:rFonts w:ascii="Arial" w:hAnsi="Arial" w:cs="Arial"/>
        </w:rPr>
        <w:t xml:space="preserve">UK Government’s planned </w:t>
      </w:r>
      <w:r w:rsidR="00AF7E62">
        <w:rPr>
          <w:rFonts w:ascii="Arial" w:hAnsi="Arial" w:cs="Arial"/>
        </w:rPr>
        <w:t>Spending Review in 2019</w:t>
      </w:r>
      <w:r w:rsidR="0093165E">
        <w:rPr>
          <w:rFonts w:ascii="Arial" w:hAnsi="Arial" w:cs="Arial"/>
        </w:rPr>
        <w:t>,</w:t>
      </w:r>
      <w:r w:rsidR="00AF7E62">
        <w:rPr>
          <w:rFonts w:ascii="Arial" w:hAnsi="Arial" w:cs="Arial"/>
        </w:rPr>
        <w:t xml:space="preserve"> and the continuing constraints on public spending</w:t>
      </w:r>
      <w:r w:rsidR="001A7A91">
        <w:rPr>
          <w:rFonts w:ascii="Arial" w:hAnsi="Arial" w:cs="Arial"/>
        </w:rPr>
        <w:t xml:space="preserve">.  </w:t>
      </w:r>
      <w:r w:rsidR="00AF7E62">
        <w:rPr>
          <w:rFonts w:ascii="Arial" w:hAnsi="Arial" w:cs="Arial"/>
        </w:rPr>
        <w:t xml:space="preserve">These same factors form the backdrop for </w:t>
      </w:r>
      <w:r w:rsidR="004364AE" w:rsidRPr="00BD459D">
        <w:rPr>
          <w:rFonts w:ascii="Arial" w:hAnsi="Arial" w:cs="Arial"/>
        </w:rPr>
        <w:t>local authorities</w:t>
      </w:r>
      <w:r w:rsidR="0093165E">
        <w:rPr>
          <w:rFonts w:ascii="Arial" w:hAnsi="Arial" w:cs="Arial"/>
        </w:rPr>
        <w:t>’</w:t>
      </w:r>
      <w:r w:rsidR="004364AE" w:rsidRPr="00BD459D">
        <w:rPr>
          <w:rFonts w:ascii="Arial" w:hAnsi="Arial" w:cs="Arial"/>
        </w:rPr>
        <w:t xml:space="preserve"> own budget</w:t>
      </w:r>
      <w:r w:rsidR="009869AD" w:rsidRPr="00BD459D">
        <w:rPr>
          <w:rFonts w:ascii="Arial" w:hAnsi="Arial" w:cs="Arial"/>
        </w:rPr>
        <w:t>-</w:t>
      </w:r>
      <w:r w:rsidR="004364AE" w:rsidRPr="00BD459D">
        <w:rPr>
          <w:rFonts w:ascii="Arial" w:hAnsi="Arial" w:cs="Arial"/>
        </w:rPr>
        <w:t>setting process</w:t>
      </w:r>
      <w:r w:rsidR="009869AD" w:rsidRPr="00BD459D">
        <w:rPr>
          <w:rFonts w:ascii="Arial" w:hAnsi="Arial" w:cs="Arial"/>
        </w:rPr>
        <w:t>es</w:t>
      </w:r>
      <w:r w:rsidR="004364AE" w:rsidRPr="00BD459D">
        <w:rPr>
          <w:rFonts w:ascii="Arial" w:hAnsi="Arial" w:cs="Arial"/>
        </w:rPr>
        <w:t xml:space="preserve"> for the </w:t>
      </w:r>
      <w:r w:rsidRPr="00BD459D">
        <w:rPr>
          <w:rFonts w:ascii="Arial" w:hAnsi="Arial" w:cs="Arial"/>
        </w:rPr>
        <w:t>coming financial</w:t>
      </w:r>
      <w:r w:rsidR="004364AE" w:rsidRPr="00BD459D">
        <w:rPr>
          <w:rFonts w:ascii="Arial" w:hAnsi="Arial" w:cs="Arial"/>
        </w:rPr>
        <w:t xml:space="preserve"> year</w:t>
      </w:r>
      <w:r w:rsidR="001A7A91">
        <w:rPr>
          <w:rFonts w:ascii="Arial" w:hAnsi="Arial" w:cs="Arial"/>
        </w:rPr>
        <w:t xml:space="preserve">.  </w:t>
      </w:r>
      <w:r w:rsidR="004364AE" w:rsidRPr="00BD459D">
        <w:rPr>
          <w:rFonts w:ascii="Arial" w:hAnsi="Arial" w:cs="Arial"/>
        </w:rPr>
        <w:t xml:space="preserve">Adjusting for transfers, </w:t>
      </w:r>
      <w:r w:rsidR="0093165E">
        <w:rPr>
          <w:rFonts w:ascii="Arial" w:hAnsi="Arial" w:cs="Arial"/>
        </w:rPr>
        <w:t xml:space="preserve">the </w:t>
      </w:r>
      <w:r w:rsidR="004364AE" w:rsidRPr="00BD459D">
        <w:rPr>
          <w:rFonts w:ascii="Arial" w:hAnsi="Arial" w:cs="Arial"/>
        </w:rPr>
        <w:t xml:space="preserve">core </w:t>
      </w:r>
      <w:r w:rsidR="0093165E">
        <w:rPr>
          <w:rFonts w:ascii="Arial" w:hAnsi="Arial" w:cs="Arial"/>
        </w:rPr>
        <w:t>revenue</w:t>
      </w:r>
      <w:r w:rsidR="004364AE" w:rsidRPr="00BD459D">
        <w:rPr>
          <w:rFonts w:ascii="Arial" w:hAnsi="Arial" w:cs="Arial"/>
        </w:rPr>
        <w:t xml:space="preserve"> funding for local government in 201</w:t>
      </w:r>
      <w:r w:rsidRPr="00BD459D">
        <w:rPr>
          <w:rFonts w:ascii="Arial" w:hAnsi="Arial" w:cs="Arial"/>
        </w:rPr>
        <w:t>9</w:t>
      </w:r>
      <w:r w:rsidR="004364AE" w:rsidRPr="00BD459D">
        <w:rPr>
          <w:rFonts w:ascii="Arial" w:hAnsi="Arial" w:cs="Arial"/>
        </w:rPr>
        <w:t>-</w:t>
      </w:r>
      <w:r w:rsidRPr="00BD459D">
        <w:rPr>
          <w:rFonts w:ascii="Arial" w:hAnsi="Arial" w:cs="Arial"/>
        </w:rPr>
        <w:t>20</w:t>
      </w:r>
      <w:r w:rsidR="004364AE" w:rsidRPr="00BD459D">
        <w:rPr>
          <w:rFonts w:ascii="Arial" w:hAnsi="Arial" w:cs="Arial"/>
        </w:rPr>
        <w:t xml:space="preserve"> will reduce by 0.</w:t>
      </w:r>
      <w:r w:rsidRPr="00BD459D">
        <w:rPr>
          <w:rFonts w:ascii="Arial" w:hAnsi="Arial" w:cs="Arial"/>
        </w:rPr>
        <w:t>3</w:t>
      </w:r>
      <w:r w:rsidR="00A1654F">
        <w:rPr>
          <w:rFonts w:ascii="Arial" w:hAnsi="Arial" w:cs="Arial"/>
        </w:rPr>
        <w:t>%</w:t>
      </w:r>
      <w:r w:rsidR="004364AE" w:rsidRPr="00BD459D">
        <w:rPr>
          <w:rFonts w:ascii="Arial" w:hAnsi="Arial" w:cs="Arial"/>
        </w:rPr>
        <w:t xml:space="preserve"> on a like-for-like basis compared to the current year</w:t>
      </w:r>
      <w:r w:rsidR="001A7A91">
        <w:rPr>
          <w:rFonts w:ascii="Arial" w:hAnsi="Arial" w:cs="Arial"/>
        </w:rPr>
        <w:t>.</w:t>
      </w:r>
    </w:p>
    <w:p w:rsidR="009869AD" w:rsidRPr="00BD459D" w:rsidRDefault="009869AD" w:rsidP="00CE58B7">
      <w:pPr>
        <w:keepLines/>
        <w:rPr>
          <w:rFonts w:ascii="Arial" w:hAnsi="Arial" w:cs="Arial"/>
        </w:rPr>
      </w:pPr>
    </w:p>
    <w:p w:rsidR="004364AE" w:rsidRPr="00BD459D" w:rsidRDefault="009869AD" w:rsidP="00CE58B7">
      <w:pPr>
        <w:keepLines/>
        <w:rPr>
          <w:rFonts w:ascii="Arial" w:hAnsi="Arial" w:cs="Arial"/>
        </w:rPr>
      </w:pPr>
      <w:r w:rsidRPr="00BD459D">
        <w:rPr>
          <w:rFonts w:ascii="Arial" w:hAnsi="Arial" w:cs="Arial"/>
        </w:rPr>
        <w:t>After the announcemen</w:t>
      </w:r>
      <w:r w:rsidR="001B56DF" w:rsidRPr="00BD459D">
        <w:rPr>
          <w:rFonts w:ascii="Arial" w:hAnsi="Arial" w:cs="Arial"/>
        </w:rPr>
        <w:t xml:space="preserve">t of the </w:t>
      </w:r>
      <w:r w:rsidR="0093165E" w:rsidRPr="00BD459D">
        <w:rPr>
          <w:rFonts w:ascii="Arial" w:hAnsi="Arial" w:cs="Arial"/>
        </w:rPr>
        <w:t>Final Budget</w:t>
      </w:r>
      <w:r w:rsidR="001B56DF" w:rsidRPr="00BD459D">
        <w:rPr>
          <w:rFonts w:ascii="Arial" w:hAnsi="Arial" w:cs="Arial"/>
        </w:rPr>
        <w:t xml:space="preserve"> last year, </w:t>
      </w:r>
      <w:r w:rsidR="00215FC1">
        <w:rPr>
          <w:rFonts w:ascii="Arial" w:hAnsi="Arial" w:cs="Arial"/>
        </w:rPr>
        <w:t xml:space="preserve">despite </w:t>
      </w:r>
      <w:r w:rsidR="00B2244D">
        <w:rPr>
          <w:rFonts w:ascii="Arial" w:hAnsi="Arial" w:cs="Arial"/>
        </w:rPr>
        <w:t>the additional £</w:t>
      </w:r>
      <w:r w:rsidR="00405902">
        <w:rPr>
          <w:rFonts w:ascii="Arial" w:hAnsi="Arial" w:cs="Arial"/>
        </w:rPr>
        <w:t xml:space="preserve">40 </w:t>
      </w:r>
      <w:r w:rsidR="00B2244D">
        <w:rPr>
          <w:rFonts w:ascii="Arial" w:hAnsi="Arial" w:cs="Arial"/>
        </w:rPr>
        <w:t>m</w:t>
      </w:r>
      <w:r w:rsidR="00405902">
        <w:rPr>
          <w:rFonts w:ascii="Arial" w:hAnsi="Arial" w:cs="Arial"/>
        </w:rPr>
        <w:t>illion</w:t>
      </w:r>
      <w:r w:rsidR="00B2244D">
        <w:rPr>
          <w:rFonts w:ascii="Arial" w:hAnsi="Arial" w:cs="Arial"/>
        </w:rPr>
        <w:t xml:space="preserve"> to </w:t>
      </w:r>
      <w:r w:rsidR="00405902">
        <w:rPr>
          <w:rFonts w:ascii="Arial" w:hAnsi="Arial" w:cs="Arial"/>
        </w:rPr>
        <w:t>support ongoing pressures in local government</w:t>
      </w:r>
      <w:r w:rsidR="0093165E">
        <w:rPr>
          <w:rFonts w:ascii="Arial" w:hAnsi="Arial" w:cs="Arial"/>
        </w:rPr>
        <w:t>,</w:t>
      </w:r>
      <w:r w:rsidR="00B2244D">
        <w:rPr>
          <w:rFonts w:ascii="Arial" w:hAnsi="Arial" w:cs="Arial"/>
        </w:rPr>
        <w:t xml:space="preserve"> </w:t>
      </w:r>
      <w:r w:rsidR="001B56DF" w:rsidRPr="00BD459D">
        <w:rPr>
          <w:rFonts w:ascii="Arial" w:hAnsi="Arial" w:cs="Arial"/>
        </w:rPr>
        <w:t xml:space="preserve">authorities were facing the prospect of a </w:t>
      </w:r>
      <w:r w:rsidR="0093165E">
        <w:rPr>
          <w:rFonts w:ascii="Arial" w:hAnsi="Arial" w:cs="Arial"/>
        </w:rPr>
        <w:t>1.0</w:t>
      </w:r>
      <w:r w:rsidR="00A1654F">
        <w:rPr>
          <w:rFonts w:ascii="Arial" w:hAnsi="Arial" w:cs="Arial"/>
        </w:rPr>
        <w:t>%</w:t>
      </w:r>
      <w:r w:rsidR="001B56DF" w:rsidRPr="00BD459D">
        <w:rPr>
          <w:rFonts w:ascii="Arial" w:hAnsi="Arial" w:cs="Arial"/>
        </w:rPr>
        <w:t xml:space="preserve"> reduction in core funding for 2019-20</w:t>
      </w:r>
      <w:r w:rsidR="00F26882" w:rsidRPr="00BD459D">
        <w:rPr>
          <w:rFonts w:ascii="Arial" w:hAnsi="Arial" w:cs="Arial"/>
        </w:rPr>
        <w:t xml:space="preserve">, </w:t>
      </w:r>
      <w:r w:rsidR="0093165E">
        <w:rPr>
          <w:rFonts w:ascii="Arial" w:hAnsi="Arial" w:cs="Arial"/>
        </w:rPr>
        <w:t>equating</w:t>
      </w:r>
      <w:r w:rsidR="0093165E" w:rsidRPr="00BD459D">
        <w:rPr>
          <w:rFonts w:ascii="Arial" w:hAnsi="Arial" w:cs="Arial"/>
        </w:rPr>
        <w:t xml:space="preserve"> </w:t>
      </w:r>
      <w:r w:rsidR="00F26882" w:rsidRPr="00BD459D">
        <w:rPr>
          <w:rFonts w:ascii="Arial" w:hAnsi="Arial" w:cs="Arial"/>
        </w:rPr>
        <w:t>to a £43 million reduction in cash terms</w:t>
      </w:r>
      <w:r w:rsidR="001A7A91">
        <w:rPr>
          <w:rFonts w:ascii="Arial" w:hAnsi="Arial" w:cs="Arial"/>
        </w:rPr>
        <w:t xml:space="preserve">.  </w:t>
      </w:r>
      <w:r w:rsidR="001379D1">
        <w:rPr>
          <w:rFonts w:ascii="Arial" w:hAnsi="Arial" w:cs="Arial"/>
        </w:rPr>
        <w:t>We have worked hard</w:t>
      </w:r>
      <w:r w:rsidR="001B7E4D">
        <w:rPr>
          <w:rFonts w:ascii="Arial" w:hAnsi="Arial" w:cs="Arial"/>
        </w:rPr>
        <w:t xml:space="preserve">, across Government, </w:t>
      </w:r>
      <w:r w:rsidR="001B56DF" w:rsidRPr="00BD459D">
        <w:rPr>
          <w:rFonts w:ascii="Arial" w:hAnsi="Arial" w:cs="Arial"/>
        </w:rPr>
        <w:t>to offer local government the best settlement possible</w:t>
      </w:r>
      <w:r w:rsidR="0093165E">
        <w:rPr>
          <w:rFonts w:ascii="Arial" w:hAnsi="Arial" w:cs="Arial"/>
        </w:rPr>
        <w:t xml:space="preserve"> in </w:t>
      </w:r>
      <w:r w:rsidR="001B56DF" w:rsidRPr="00BD459D">
        <w:rPr>
          <w:rFonts w:ascii="Arial" w:hAnsi="Arial" w:cs="Arial"/>
        </w:rPr>
        <w:t>the current financial climate</w:t>
      </w:r>
      <w:r w:rsidR="00BD5A54" w:rsidRPr="00BD459D">
        <w:rPr>
          <w:rFonts w:ascii="Arial" w:hAnsi="Arial" w:cs="Arial"/>
        </w:rPr>
        <w:t>,</w:t>
      </w:r>
      <w:r w:rsidR="001B56DF" w:rsidRPr="00BD459D">
        <w:rPr>
          <w:rFonts w:ascii="Arial" w:hAnsi="Arial" w:cs="Arial"/>
        </w:rPr>
        <w:t xml:space="preserve"> and </w:t>
      </w:r>
      <w:r w:rsidR="0093165E">
        <w:rPr>
          <w:rFonts w:ascii="Arial" w:hAnsi="Arial" w:cs="Arial"/>
        </w:rPr>
        <w:t>we</w:t>
      </w:r>
      <w:r w:rsidR="001B56DF" w:rsidRPr="00BD459D">
        <w:rPr>
          <w:rFonts w:ascii="Arial" w:hAnsi="Arial" w:cs="Arial"/>
        </w:rPr>
        <w:t xml:space="preserve"> have </w:t>
      </w:r>
      <w:r w:rsidR="00BD5A54" w:rsidRPr="00BD459D">
        <w:rPr>
          <w:rFonts w:ascii="Arial" w:hAnsi="Arial" w:cs="Arial"/>
        </w:rPr>
        <w:t xml:space="preserve">made further allocations to the local government settlement to mitigate </w:t>
      </w:r>
      <w:r w:rsidR="001B7E4D">
        <w:rPr>
          <w:rFonts w:ascii="Arial" w:hAnsi="Arial" w:cs="Arial"/>
        </w:rPr>
        <w:t xml:space="preserve">most </w:t>
      </w:r>
      <w:r w:rsidR="00BD5A54" w:rsidRPr="00BD459D">
        <w:rPr>
          <w:rFonts w:ascii="Arial" w:hAnsi="Arial" w:cs="Arial"/>
        </w:rPr>
        <w:t>of the reduction local government had been expecting.</w:t>
      </w:r>
    </w:p>
    <w:p w:rsidR="00C365A5" w:rsidRPr="00BD459D" w:rsidRDefault="00C365A5" w:rsidP="00CE58B7">
      <w:pPr>
        <w:keepLines/>
        <w:rPr>
          <w:rFonts w:ascii="Arial" w:hAnsi="Arial" w:cs="Arial"/>
        </w:rPr>
      </w:pPr>
    </w:p>
    <w:p w:rsidR="004364AE" w:rsidRPr="00BD459D" w:rsidRDefault="00BD5A54" w:rsidP="00CE58B7">
      <w:pPr>
        <w:keepLines/>
        <w:rPr>
          <w:rFonts w:ascii="Arial" w:hAnsi="Arial" w:cs="Arial"/>
        </w:rPr>
      </w:pPr>
      <w:r w:rsidRPr="00BD459D">
        <w:rPr>
          <w:rFonts w:ascii="Arial" w:hAnsi="Arial" w:cs="Arial"/>
        </w:rPr>
        <w:t>In 2019-20,</w:t>
      </w:r>
      <w:r w:rsidR="004364AE" w:rsidRPr="00BD459D">
        <w:rPr>
          <w:rFonts w:ascii="Arial" w:hAnsi="Arial" w:cs="Arial"/>
        </w:rPr>
        <w:t xml:space="preserve"> local authorities will </w:t>
      </w:r>
      <w:r w:rsidR="00A1654F">
        <w:rPr>
          <w:rFonts w:ascii="Arial" w:hAnsi="Arial" w:cs="Arial"/>
        </w:rPr>
        <w:t>receive</w:t>
      </w:r>
      <w:r w:rsidR="00A1654F" w:rsidRPr="00BD459D">
        <w:rPr>
          <w:rFonts w:ascii="Arial" w:hAnsi="Arial" w:cs="Arial"/>
        </w:rPr>
        <w:t xml:space="preserve"> </w:t>
      </w:r>
      <w:r w:rsidR="004364AE" w:rsidRPr="00BD459D">
        <w:rPr>
          <w:rFonts w:ascii="Arial" w:hAnsi="Arial" w:cs="Arial"/>
        </w:rPr>
        <w:t xml:space="preserve">£4.2 billion </w:t>
      </w:r>
      <w:r w:rsidR="00A1654F">
        <w:rPr>
          <w:rFonts w:ascii="Arial" w:hAnsi="Arial" w:cs="Arial"/>
        </w:rPr>
        <w:t xml:space="preserve">from the </w:t>
      </w:r>
      <w:r w:rsidRPr="00BD459D">
        <w:rPr>
          <w:rFonts w:ascii="Arial" w:hAnsi="Arial" w:cs="Arial"/>
        </w:rPr>
        <w:t xml:space="preserve">Welsh Government </w:t>
      </w:r>
      <w:r w:rsidR="00A1654F">
        <w:rPr>
          <w:rFonts w:ascii="Arial" w:hAnsi="Arial" w:cs="Arial"/>
        </w:rPr>
        <w:t xml:space="preserve">in core revenue </w:t>
      </w:r>
      <w:r w:rsidRPr="00BD459D">
        <w:rPr>
          <w:rFonts w:ascii="Arial" w:hAnsi="Arial" w:cs="Arial"/>
        </w:rPr>
        <w:t>funding</w:t>
      </w:r>
      <w:r w:rsidR="00EC663A">
        <w:rPr>
          <w:rFonts w:ascii="Arial" w:hAnsi="Arial" w:cs="Arial"/>
        </w:rPr>
        <w:t xml:space="preserve"> and non</w:t>
      </w:r>
      <w:r w:rsidR="00A1654F">
        <w:rPr>
          <w:rFonts w:ascii="Arial" w:hAnsi="Arial" w:cs="Arial"/>
        </w:rPr>
        <w:t>-</w:t>
      </w:r>
      <w:r w:rsidR="00EC663A">
        <w:rPr>
          <w:rFonts w:ascii="Arial" w:hAnsi="Arial" w:cs="Arial"/>
        </w:rPr>
        <w:t>domestic rates</w:t>
      </w:r>
      <w:r w:rsidRPr="00BD459D">
        <w:rPr>
          <w:rFonts w:ascii="Arial" w:hAnsi="Arial" w:cs="Arial"/>
        </w:rPr>
        <w:t xml:space="preserve"> </w:t>
      </w:r>
      <w:r w:rsidR="004364AE" w:rsidRPr="00BD459D">
        <w:rPr>
          <w:rFonts w:ascii="Arial" w:hAnsi="Arial" w:cs="Arial"/>
        </w:rPr>
        <w:t>to spend on delivering key services</w:t>
      </w:r>
      <w:r w:rsidR="001A7A91">
        <w:rPr>
          <w:rFonts w:ascii="Arial" w:hAnsi="Arial" w:cs="Arial"/>
        </w:rPr>
        <w:t xml:space="preserve">.  </w:t>
      </w:r>
      <w:r w:rsidR="004364AE" w:rsidRPr="00BD459D">
        <w:rPr>
          <w:rFonts w:ascii="Arial" w:hAnsi="Arial" w:cs="Arial"/>
        </w:rPr>
        <w:t>This includes £</w:t>
      </w:r>
      <w:r w:rsidRPr="00BD459D">
        <w:rPr>
          <w:rFonts w:ascii="Arial" w:hAnsi="Arial" w:cs="Arial"/>
        </w:rPr>
        <w:t>2</w:t>
      </w:r>
      <w:r w:rsidR="004364AE" w:rsidRPr="00BD459D">
        <w:rPr>
          <w:rFonts w:ascii="Arial" w:hAnsi="Arial" w:cs="Arial"/>
        </w:rPr>
        <w:t>.</w:t>
      </w:r>
      <w:r w:rsidRPr="00BD459D">
        <w:rPr>
          <w:rFonts w:ascii="Arial" w:hAnsi="Arial" w:cs="Arial"/>
        </w:rPr>
        <w:t>5</w:t>
      </w:r>
      <w:r w:rsidR="004364AE" w:rsidRPr="00BD459D">
        <w:rPr>
          <w:rFonts w:ascii="Arial" w:hAnsi="Arial" w:cs="Arial"/>
        </w:rPr>
        <w:t xml:space="preserve"> million</w:t>
      </w:r>
      <w:r w:rsidRPr="00BD459D">
        <w:rPr>
          <w:rFonts w:ascii="Arial" w:hAnsi="Arial" w:cs="Arial"/>
        </w:rPr>
        <w:t xml:space="preserve"> of</w:t>
      </w:r>
      <w:r w:rsidR="004364AE" w:rsidRPr="00BD459D">
        <w:rPr>
          <w:rFonts w:ascii="Arial" w:hAnsi="Arial" w:cs="Arial"/>
        </w:rPr>
        <w:t xml:space="preserve"> floor funding</w:t>
      </w:r>
      <w:r w:rsidR="00A919B5">
        <w:rPr>
          <w:rFonts w:ascii="Arial" w:hAnsi="Arial" w:cs="Arial"/>
        </w:rPr>
        <w:t>, fully funded by the Welsh Government,</w:t>
      </w:r>
      <w:r w:rsidR="004364AE" w:rsidRPr="00BD459D">
        <w:rPr>
          <w:rFonts w:ascii="Arial" w:hAnsi="Arial" w:cs="Arial"/>
        </w:rPr>
        <w:t xml:space="preserve"> to ensure that no authority has to manage with a reduction of more than 1</w:t>
      </w:r>
      <w:r w:rsidR="000A1423">
        <w:rPr>
          <w:rFonts w:ascii="Arial" w:hAnsi="Arial" w:cs="Arial"/>
        </w:rPr>
        <w:t>.0</w:t>
      </w:r>
      <w:r w:rsidR="004364AE" w:rsidRPr="00BD459D">
        <w:rPr>
          <w:rFonts w:ascii="Arial" w:hAnsi="Arial" w:cs="Arial"/>
        </w:rPr>
        <w:t xml:space="preserve">% </w:t>
      </w:r>
      <w:r w:rsidR="00F26882" w:rsidRPr="00BD459D">
        <w:rPr>
          <w:rFonts w:ascii="Arial" w:hAnsi="Arial" w:cs="Arial"/>
        </w:rPr>
        <w:t>in</w:t>
      </w:r>
      <w:r w:rsidR="004364AE" w:rsidRPr="00BD459D">
        <w:rPr>
          <w:rFonts w:ascii="Arial" w:hAnsi="Arial" w:cs="Arial"/>
        </w:rPr>
        <w:t xml:space="preserve"> its </w:t>
      </w:r>
      <w:r w:rsidRPr="00BD459D">
        <w:rPr>
          <w:rFonts w:ascii="Arial" w:hAnsi="Arial" w:cs="Arial"/>
        </w:rPr>
        <w:t>Aggregate External Finance</w:t>
      </w:r>
      <w:r w:rsidR="004364AE" w:rsidRPr="00BD459D">
        <w:rPr>
          <w:rFonts w:ascii="Arial" w:hAnsi="Arial" w:cs="Arial"/>
        </w:rPr>
        <w:t xml:space="preserve"> next year.</w:t>
      </w:r>
      <w:r w:rsidR="004364AE" w:rsidRPr="00BD459D">
        <w:rPr>
          <w:rFonts w:ascii="Arial" w:hAnsi="Arial" w:cs="Arial"/>
        </w:rPr>
        <w:br/>
      </w:r>
    </w:p>
    <w:p w:rsidR="003D1EA3" w:rsidRPr="006E4D9A" w:rsidRDefault="001B7E4D" w:rsidP="00CE58B7">
      <w:pPr>
        <w:keepLines/>
        <w:rPr>
          <w:rFonts w:ascii="Arial" w:hAnsi="Arial" w:cs="Arial"/>
        </w:rPr>
      </w:pPr>
      <w:r w:rsidRPr="006E4D9A">
        <w:rPr>
          <w:rFonts w:ascii="Arial" w:hAnsi="Arial" w:cs="Arial"/>
        </w:rPr>
        <w:lastRenderedPageBreak/>
        <w:t xml:space="preserve">Within this </w:t>
      </w:r>
      <w:r w:rsidR="00DF5ACA" w:rsidRPr="006E4D9A">
        <w:rPr>
          <w:rFonts w:ascii="Arial" w:hAnsi="Arial" w:cs="Arial"/>
        </w:rPr>
        <w:t>s</w:t>
      </w:r>
      <w:r w:rsidRPr="006E4D9A">
        <w:rPr>
          <w:rFonts w:ascii="Arial" w:hAnsi="Arial" w:cs="Arial"/>
        </w:rPr>
        <w:t>ettlement</w:t>
      </w:r>
      <w:r w:rsidR="003D1EA3" w:rsidRPr="006E4D9A">
        <w:rPr>
          <w:rFonts w:ascii="Arial" w:hAnsi="Arial" w:cs="Arial"/>
        </w:rPr>
        <w:t xml:space="preserve">, we have provided funding </w:t>
      </w:r>
      <w:r w:rsidRPr="006E4D9A">
        <w:rPr>
          <w:rFonts w:ascii="Arial" w:hAnsi="Arial" w:cs="Arial"/>
        </w:rPr>
        <w:t xml:space="preserve">for additional costs </w:t>
      </w:r>
      <w:r w:rsidR="00E1132A" w:rsidRPr="006E4D9A">
        <w:rPr>
          <w:rFonts w:ascii="Arial" w:hAnsi="Arial" w:cs="Arial"/>
        </w:rPr>
        <w:t xml:space="preserve">arising from changes by the UK Government through </w:t>
      </w:r>
      <w:r w:rsidRPr="006E4D9A">
        <w:rPr>
          <w:rFonts w:ascii="Arial" w:hAnsi="Arial" w:cs="Arial"/>
        </w:rPr>
        <w:t xml:space="preserve">the </w:t>
      </w:r>
      <w:r w:rsidR="00A1654F" w:rsidRPr="006E4D9A">
        <w:rPr>
          <w:rFonts w:ascii="Arial" w:hAnsi="Arial" w:cs="Arial"/>
        </w:rPr>
        <w:t>teachers</w:t>
      </w:r>
      <w:r w:rsidR="00ED7B50" w:rsidRPr="006E4D9A">
        <w:rPr>
          <w:rFonts w:ascii="Arial" w:hAnsi="Arial" w:cs="Arial"/>
        </w:rPr>
        <w:t>’</w:t>
      </w:r>
      <w:r w:rsidR="00A1654F" w:rsidRPr="006E4D9A">
        <w:rPr>
          <w:rFonts w:ascii="Arial" w:hAnsi="Arial" w:cs="Arial"/>
        </w:rPr>
        <w:t xml:space="preserve"> pay award</w:t>
      </w:r>
      <w:r w:rsidR="009D49C9" w:rsidRPr="006E4D9A">
        <w:rPr>
          <w:rFonts w:ascii="Arial" w:hAnsi="Arial" w:cs="Arial"/>
        </w:rPr>
        <w:t>,</w:t>
      </w:r>
      <w:r w:rsidR="00A1654F" w:rsidRPr="006E4D9A">
        <w:rPr>
          <w:rFonts w:ascii="Arial" w:hAnsi="Arial" w:cs="Arial"/>
        </w:rPr>
        <w:t xml:space="preserve"> </w:t>
      </w:r>
      <w:r w:rsidRPr="006E4D9A">
        <w:rPr>
          <w:rFonts w:ascii="Arial" w:hAnsi="Arial" w:cs="Arial"/>
        </w:rPr>
        <w:t xml:space="preserve">and </w:t>
      </w:r>
      <w:r w:rsidR="003D1EA3" w:rsidRPr="006E4D9A">
        <w:rPr>
          <w:rFonts w:ascii="Arial" w:hAnsi="Arial" w:cs="Arial"/>
        </w:rPr>
        <w:t>to reflect the importance of local government</w:t>
      </w:r>
      <w:r w:rsidR="00A1654F" w:rsidRPr="006E4D9A">
        <w:rPr>
          <w:rFonts w:ascii="Arial" w:hAnsi="Arial" w:cs="Arial"/>
        </w:rPr>
        <w:t>’s role</w:t>
      </w:r>
      <w:r w:rsidR="003D1EA3" w:rsidRPr="006E4D9A">
        <w:rPr>
          <w:rFonts w:ascii="Arial" w:hAnsi="Arial" w:cs="Arial"/>
        </w:rPr>
        <w:t xml:space="preserve"> in the health and social care system</w:t>
      </w:r>
      <w:r w:rsidR="001A7A91" w:rsidRPr="006E4D9A">
        <w:rPr>
          <w:rFonts w:ascii="Arial" w:hAnsi="Arial" w:cs="Arial"/>
        </w:rPr>
        <w:t>.</w:t>
      </w:r>
      <w:r w:rsidR="009D49C9" w:rsidRPr="006E4D9A">
        <w:rPr>
          <w:rFonts w:ascii="Arial" w:hAnsi="Arial" w:cs="Arial"/>
        </w:rPr>
        <w:t xml:space="preserve"> We are also providing funding for our proposals for new eligibility criteria for free school meals given the continued rollout of Universal Credit by the UK Government.</w:t>
      </w:r>
    </w:p>
    <w:p w:rsidR="003D1EA3" w:rsidRPr="006E4D9A" w:rsidRDefault="003D1EA3" w:rsidP="00CE58B7">
      <w:pPr>
        <w:keepLines/>
        <w:rPr>
          <w:rFonts w:ascii="Arial" w:hAnsi="Arial" w:cs="Arial"/>
        </w:rPr>
      </w:pPr>
    </w:p>
    <w:p w:rsidR="00A919B5" w:rsidRPr="006E4D9A" w:rsidRDefault="003D1EA3" w:rsidP="00CE58B7">
      <w:pPr>
        <w:keepLines/>
        <w:rPr>
          <w:rFonts w:ascii="Arial" w:hAnsi="Arial" w:cs="Arial"/>
        </w:rPr>
      </w:pPr>
      <w:r w:rsidRPr="006E4D9A">
        <w:rPr>
          <w:rFonts w:ascii="Arial" w:hAnsi="Arial" w:cs="Arial"/>
        </w:rPr>
        <w:t xml:space="preserve">Specifically, </w:t>
      </w:r>
      <w:r w:rsidR="009D49C9" w:rsidRPr="006E4D9A">
        <w:rPr>
          <w:rFonts w:ascii="Arial" w:hAnsi="Arial" w:cs="Arial"/>
        </w:rPr>
        <w:t>in line with the proposals in our recent consultation, we are making an additional £7 million available to local authorities</w:t>
      </w:r>
      <w:r w:rsidR="006E4D9A">
        <w:rPr>
          <w:rFonts w:ascii="Arial" w:hAnsi="Arial" w:cs="Arial"/>
        </w:rPr>
        <w:t>, through the settlement,</w:t>
      </w:r>
      <w:r w:rsidR="009D49C9" w:rsidRPr="006E4D9A">
        <w:rPr>
          <w:rFonts w:ascii="Arial" w:hAnsi="Arial" w:cs="Arial"/>
        </w:rPr>
        <w:t xml:space="preserve"> for free school meals in 2019-20, based on the latest forecasts.  </w:t>
      </w:r>
      <w:r w:rsidR="009D49C9" w:rsidRPr="006E4D9A">
        <w:rPr>
          <w:rFonts w:ascii="Arial" w:hAnsi="Arial" w:cs="Arial"/>
          <w:i/>
        </w:rPr>
        <w:t xml:space="preserve"> </w:t>
      </w:r>
      <w:r w:rsidR="00A000E0" w:rsidRPr="006E4D9A">
        <w:rPr>
          <w:rFonts w:ascii="Arial" w:hAnsi="Arial" w:cs="Arial"/>
        </w:rPr>
        <w:t>We will also be providing additional funding of £4</w:t>
      </w:r>
      <w:r w:rsidR="009D49C9" w:rsidRPr="006E4D9A">
        <w:rPr>
          <w:rFonts w:ascii="Arial" w:hAnsi="Arial" w:cs="Arial"/>
        </w:rPr>
        <w:t xml:space="preserve"> </w:t>
      </w:r>
      <w:r w:rsidR="00A000E0" w:rsidRPr="006E4D9A">
        <w:rPr>
          <w:rFonts w:ascii="Arial" w:hAnsi="Arial" w:cs="Arial"/>
        </w:rPr>
        <w:t>m</w:t>
      </w:r>
      <w:r w:rsidR="009D49C9" w:rsidRPr="006E4D9A">
        <w:rPr>
          <w:rFonts w:ascii="Arial" w:hAnsi="Arial" w:cs="Arial"/>
        </w:rPr>
        <w:t>illion</w:t>
      </w:r>
      <w:r w:rsidR="00A000E0" w:rsidRPr="006E4D9A">
        <w:rPr>
          <w:rFonts w:ascii="Arial" w:hAnsi="Arial" w:cs="Arial"/>
        </w:rPr>
        <w:t xml:space="preserve"> to local authorities in 2018-19 for free school meals via a grant scheme.</w:t>
      </w:r>
      <w:r w:rsidR="006E4D9A">
        <w:rPr>
          <w:rFonts w:ascii="Arial" w:hAnsi="Arial" w:cs="Arial"/>
        </w:rPr>
        <w:t xml:space="preserve">  </w:t>
      </w:r>
      <w:r w:rsidR="006E4D9A" w:rsidRPr="006E4D9A">
        <w:rPr>
          <w:rFonts w:ascii="Arial" w:hAnsi="Arial" w:cs="Arial"/>
        </w:rPr>
        <w:t>This will support local authorities in meeting the costs associated with our proposed threshold and transitional protection measures.</w:t>
      </w:r>
    </w:p>
    <w:p w:rsidR="00A919B5" w:rsidRDefault="00A919B5" w:rsidP="00CE58B7">
      <w:pPr>
        <w:keepLines/>
        <w:rPr>
          <w:rFonts w:ascii="Arial" w:hAnsi="Arial" w:cs="Arial"/>
        </w:rPr>
      </w:pPr>
    </w:p>
    <w:p w:rsidR="00B20DF1" w:rsidRPr="00BD459D" w:rsidRDefault="00B2244D" w:rsidP="00CE58B7">
      <w:pPr>
        <w:keepLines/>
        <w:rPr>
          <w:rFonts w:ascii="Arial" w:hAnsi="Arial" w:cs="Arial"/>
        </w:rPr>
      </w:pPr>
      <w:r>
        <w:rPr>
          <w:rFonts w:ascii="Arial" w:hAnsi="Arial" w:cs="Arial"/>
        </w:rPr>
        <w:t xml:space="preserve">We are directing all of the </w:t>
      </w:r>
      <w:r w:rsidR="00B20DF1" w:rsidRPr="00BD459D">
        <w:rPr>
          <w:rFonts w:ascii="Arial" w:hAnsi="Arial" w:cs="Arial"/>
        </w:rPr>
        <w:t>£</w:t>
      </w:r>
      <w:r w:rsidR="00FB42D4">
        <w:rPr>
          <w:rFonts w:ascii="Arial" w:hAnsi="Arial" w:cs="Arial"/>
        </w:rPr>
        <w:t>23.5</w:t>
      </w:r>
      <w:r w:rsidR="00B20DF1" w:rsidRPr="00BD459D">
        <w:rPr>
          <w:rFonts w:ascii="Arial" w:hAnsi="Arial" w:cs="Arial"/>
        </w:rPr>
        <w:t xml:space="preserve"> million announced by the UK Government on 13</w:t>
      </w:r>
      <w:r w:rsidR="00A1654F">
        <w:rPr>
          <w:rFonts w:ascii="Arial" w:hAnsi="Arial" w:cs="Arial"/>
        </w:rPr>
        <w:t> </w:t>
      </w:r>
      <w:r w:rsidR="00B20DF1" w:rsidRPr="00BD459D">
        <w:rPr>
          <w:rFonts w:ascii="Arial" w:hAnsi="Arial" w:cs="Arial"/>
        </w:rPr>
        <w:t xml:space="preserve">September, to fund the </w:t>
      </w:r>
      <w:r w:rsidR="00A919B5">
        <w:rPr>
          <w:rFonts w:ascii="Arial" w:hAnsi="Arial" w:cs="Arial"/>
        </w:rPr>
        <w:t xml:space="preserve">school </w:t>
      </w:r>
      <w:r w:rsidR="00B20DF1" w:rsidRPr="00BD459D">
        <w:rPr>
          <w:rFonts w:ascii="Arial" w:hAnsi="Arial" w:cs="Arial"/>
        </w:rPr>
        <w:t>teachers’ pay award</w:t>
      </w:r>
      <w:r w:rsidR="001A7A91">
        <w:rPr>
          <w:rFonts w:ascii="Arial" w:hAnsi="Arial" w:cs="Arial"/>
        </w:rPr>
        <w:t xml:space="preserve">.  </w:t>
      </w:r>
      <w:r w:rsidR="00FB42D4">
        <w:rPr>
          <w:rFonts w:ascii="Arial" w:hAnsi="Arial" w:cs="Arial"/>
        </w:rPr>
        <w:t xml:space="preserve">For 2018-19, £8.7 million will be </w:t>
      </w:r>
      <w:r w:rsidR="00765690">
        <w:rPr>
          <w:rFonts w:ascii="Arial" w:hAnsi="Arial" w:cs="Arial"/>
        </w:rPr>
        <w:t>made available via</w:t>
      </w:r>
      <w:r w:rsidR="00FB42D4">
        <w:rPr>
          <w:rFonts w:ascii="Arial" w:hAnsi="Arial" w:cs="Arial"/>
        </w:rPr>
        <w:t xml:space="preserve"> specific grant</w:t>
      </w:r>
      <w:r w:rsidR="001C5E34">
        <w:rPr>
          <w:rFonts w:ascii="Arial" w:hAnsi="Arial" w:cs="Arial"/>
        </w:rPr>
        <w:t>s</w:t>
      </w:r>
      <w:r w:rsidR="001A7A91">
        <w:rPr>
          <w:rFonts w:ascii="Arial" w:hAnsi="Arial" w:cs="Arial"/>
        </w:rPr>
        <w:t xml:space="preserve">.  </w:t>
      </w:r>
      <w:r w:rsidR="00B20DF1" w:rsidRPr="00BD459D">
        <w:rPr>
          <w:rFonts w:ascii="Arial" w:hAnsi="Arial" w:cs="Arial"/>
        </w:rPr>
        <w:t>£13.</w:t>
      </w:r>
      <w:r w:rsidR="00A919B5">
        <w:rPr>
          <w:rFonts w:ascii="Arial" w:hAnsi="Arial" w:cs="Arial"/>
        </w:rPr>
        <w:t>7</w:t>
      </w:r>
      <w:r w:rsidR="00B20DF1" w:rsidRPr="00BD459D">
        <w:rPr>
          <w:rFonts w:ascii="Arial" w:hAnsi="Arial" w:cs="Arial"/>
        </w:rPr>
        <w:t xml:space="preserve"> million has been included in the settlement for </w:t>
      </w:r>
      <w:r w:rsidR="000828A3" w:rsidRPr="00BD459D">
        <w:rPr>
          <w:rFonts w:ascii="Arial" w:hAnsi="Arial" w:cs="Arial"/>
        </w:rPr>
        <w:t xml:space="preserve">2019-20 to fund the increase in teachers’ pay </w:t>
      </w:r>
      <w:r w:rsidR="00492A9E">
        <w:rPr>
          <w:rFonts w:ascii="Arial" w:hAnsi="Arial" w:cs="Arial"/>
        </w:rPr>
        <w:t xml:space="preserve">in maintained schools from </w:t>
      </w:r>
      <w:r w:rsidR="00A919B5" w:rsidRPr="00A919B5">
        <w:rPr>
          <w:rFonts w:ascii="Arial" w:hAnsi="Arial" w:cs="Arial"/>
        </w:rPr>
        <w:t>nursery to year 11</w:t>
      </w:r>
      <w:r w:rsidR="00C669D7">
        <w:rPr>
          <w:rFonts w:ascii="Arial" w:hAnsi="Arial" w:cs="Arial"/>
        </w:rPr>
        <w:t>,</w:t>
      </w:r>
      <w:r w:rsidR="00765690">
        <w:rPr>
          <w:rFonts w:ascii="Arial" w:hAnsi="Arial" w:cs="Arial"/>
        </w:rPr>
        <w:t xml:space="preserve"> and</w:t>
      </w:r>
      <w:r w:rsidR="001A7A91">
        <w:rPr>
          <w:rFonts w:ascii="Arial" w:hAnsi="Arial" w:cs="Arial"/>
        </w:rPr>
        <w:t xml:space="preserve"> </w:t>
      </w:r>
      <w:r w:rsidR="00765690">
        <w:rPr>
          <w:rFonts w:ascii="Arial" w:hAnsi="Arial" w:cs="Arial"/>
        </w:rPr>
        <w:t>t</w:t>
      </w:r>
      <w:r w:rsidR="000828A3" w:rsidRPr="00BD459D">
        <w:rPr>
          <w:rFonts w:ascii="Arial" w:hAnsi="Arial" w:cs="Arial"/>
        </w:rPr>
        <w:t>he remaining £1.1 million will</w:t>
      </w:r>
      <w:r w:rsidR="001C5E34">
        <w:rPr>
          <w:rFonts w:ascii="Arial" w:hAnsi="Arial" w:cs="Arial"/>
        </w:rPr>
        <w:t xml:space="preserve"> continue to</w:t>
      </w:r>
      <w:r w:rsidR="000828A3" w:rsidRPr="00BD459D">
        <w:rPr>
          <w:rFonts w:ascii="Arial" w:hAnsi="Arial" w:cs="Arial"/>
        </w:rPr>
        <w:t xml:space="preserve"> be delivered outside the settlement</w:t>
      </w:r>
      <w:r w:rsidR="00A919B5">
        <w:rPr>
          <w:rFonts w:ascii="Arial" w:hAnsi="Arial" w:cs="Arial"/>
        </w:rPr>
        <w:t>, as a specific grant,</w:t>
      </w:r>
      <w:r w:rsidR="000828A3" w:rsidRPr="00BD459D">
        <w:rPr>
          <w:rFonts w:ascii="Arial" w:hAnsi="Arial" w:cs="Arial"/>
        </w:rPr>
        <w:t xml:space="preserve"> for teachers in </w:t>
      </w:r>
      <w:r w:rsidR="00D81F69">
        <w:rPr>
          <w:rFonts w:ascii="Arial" w:hAnsi="Arial" w:cs="Arial"/>
        </w:rPr>
        <w:t>school sixth forms</w:t>
      </w:r>
      <w:r w:rsidR="001A7A91">
        <w:rPr>
          <w:rFonts w:ascii="Arial" w:hAnsi="Arial" w:cs="Arial"/>
        </w:rPr>
        <w:t>.</w:t>
      </w:r>
    </w:p>
    <w:p w:rsidR="00B20DF1" w:rsidRDefault="00B20DF1" w:rsidP="00CE58B7">
      <w:pPr>
        <w:keepLines/>
        <w:rPr>
          <w:rFonts w:ascii="Arial" w:hAnsi="Arial" w:cs="Arial"/>
          <w:color w:val="FF0000"/>
        </w:rPr>
      </w:pPr>
    </w:p>
    <w:p w:rsidR="006575C0" w:rsidRDefault="00B2244D" w:rsidP="00CE58B7">
      <w:pPr>
        <w:keepLines/>
        <w:autoSpaceDE w:val="0"/>
        <w:autoSpaceDN w:val="0"/>
        <w:adjustRightInd w:val="0"/>
        <w:rPr>
          <w:rFonts w:ascii="Arial" w:hAnsi="Arial" w:cs="Arial"/>
        </w:rPr>
      </w:pPr>
      <w:r>
        <w:rPr>
          <w:rFonts w:ascii="Arial" w:hAnsi="Arial" w:cs="Arial"/>
        </w:rPr>
        <w:t>I</w:t>
      </w:r>
      <w:r w:rsidR="00E12161" w:rsidRPr="00E12161">
        <w:rPr>
          <w:rFonts w:ascii="Arial" w:hAnsi="Arial" w:cs="Arial"/>
        </w:rPr>
        <w:t>n recognition of the important role local authorities play in delivering core</w:t>
      </w:r>
      <w:r w:rsidR="00E12161">
        <w:rPr>
          <w:rFonts w:ascii="Arial" w:hAnsi="Arial" w:cs="Arial"/>
        </w:rPr>
        <w:t xml:space="preserve"> </w:t>
      </w:r>
      <w:r w:rsidR="00E12161" w:rsidRPr="00E12161">
        <w:rPr>
          <w:rFonts w:ascii="Arial" w:hAnsi="Arial" w:cs="Arial"/>
        </w:rPr>
        <w:t>social services and the preventative approach at the heart of delivery</w:t>
      </w:r>
      <w:r w:rsidR="00E12161">
        <w:rPr>
          <w:rFonts w:ascii="Arial" w:hAnsi="Arial" w:cs="Arial"/>
        </w:rPr>
        <w:t>,</w:t>
      </w:r>
      <w:r w:rsidR="009A6551" w:rsidRPr="00BD459D">
        <w:rPr>
          <w:rFonts w:ascii="Arial" w:hAnsi="Arial" w:cs="Arial"/>
        </w:rPr>
        <w:t xml:space="preserve"> this settlement contains </w:t>
      </w:r>
      <w:r w:rsidR="009E5ECF" w:rsidRPr="00BD459D">
        <w:rPr>
          <w:rFonts w:ascii="Arial" w:hAnsi="Arial" w:cs="Arial"/>
        </w:rPr>
        <w:t xml:space="preserve">a further </w:t>
      </w:r>
      <w:r w:rsidR="009A6551" w:rsidRPr="00BD459D">
        <w:rPr>
          <w:rFonts w:ascii="Arial" w:hAnsi="Arial" w:cs="Arial"/>
        </w:rPr>
        <w:t xml:space="preserve">£20 million </w:t>
      </w:r>
      <w:r w:rsidR="00E12161">
        <w:rPr>
          <w:rFonts w:ascii="Arial" w:hAnsi="Arial" w:cs="Arial"/>
        </w:rPr>
        <w:t xml:space="preserve">to help </w:t>
      </w:r>
      <w:r w:rsidR="006575C0">
        <w:rPr>
          <w:rFonts w:ascii="Arial" w:hAnsi="Arial" w:cs="Arial"/>
        </w:rPr>
        <w:t>ease tho</w:t>
      </w:r>
      <w:r w:rsidR="00E12161">
        <w:rPr>
          <w:rFonts w:ascii="Arial" w:hAnsi="Arial" w:cs="Arial"/>
        </w:rPr>
        <w:t>se pressures</w:t>
      </w:r>
      <w:r w:rsidR="009E5ECF" w:rsidRPr="00BD459D">
        <w:rPr>
          <w:rFonts w:ascii="Arial" w:hAnsi="Arial" w:cs="Arial"/>
        </w:rPr>
        <w:t>.</w:t>
      </w:r>
    </w:p>
    <w:p w:rsidR="006575C0" w:rsidRDefault="006575C0" w:rsidP="00CE58B7">
      <w:pPr>
        <w:keepLines/>
        <w:autoSpaceDE w:val="0"/>
        <w:autoSpaceDN w:val="0"/>
        <w:adjustRightInd w:val="0"/>
        <w:rPr>
          <w:rFonts w:ascii="Arial" w:hAnsi="Arial" w:cs="Arial"/>
        </w:rPr>
      </w:pPr>
    </w:p>
    <w:p w:rsidR="009A6551" w:rsidRPr="00800680" w:rsidRDefault="00B2244D" w:rsidP="00CE58B7">
      <w:pPr>
        <w:keepLines/>
        <w:autoSpaceDE w:val="0"/>
        <w:autoSpaceDN w:val="0"/>
        <w:adjustRightInd w:val="0"/>
        <w:rPr>
          <w:rFonts w:ascii="Arial" w:hAnsi="Arial" w:cs="Arial"/>
        </w:rPr>
      </w:pPr>
      <w:r>
        <w:rPr>
          <w:rFonts w:ascii="Arial" w:hAnsi="Arial" w:cs="Arial"/>
        </w:rPr>
        <w:t xml:space="preserve">As the budget </w:t>
      </w:r>
      <w:r w:rsidR="00124AF1">
        <w:rPr>
          <w:rFonts w:ascii="Arial" w:hAnsi="Arial" w:cs="Arial"/>
        </w:rPr>
        <w:t>announcement set out</w:t>
      </w:r>
      <w:r w:rsidR="00A1654F">
        <w:rPr>
          <w:rFonts w:ascii="Arial" w:hAnsi="Arial" w:cs="Arial"/>
        </w:rPr>
        <w:t>,</w:t>
      </w:r>
      <w:r w:rsidR="00174D76">
        <w:rPr>
          <w:rFonts w:ascii="Arial" w:hAnsi="Arial" w:cs="Arial"/>
        </w:rPr>
        <w:t xml:space="preserve"> we have be</w:t>
      </w:r>
      <w:r w:rsidR="005D2DF6">
        <w:rPr>
          <w:rFonts w:ascii="Arial" w:hAnsi="Arial" w:cs="Arial"/>
        </w:rPr>
        <w:t>e</w:t>
      </w:r>
      <w:r w:rsidR="00174D76">
        <w:rPr>
          <w:rFonts w:ascii="Arial" w:hAnsi="Arial" w:cs="Arial"/>
        </w:rPr>
        <w:t>n able to restor</w:t>
      </w:r>
      <w:r w:rsidR="00492A9E">
        <w:rPr>
          <w:rFonts w:ascii="Arial" w:hAnsi="Arial" w:cs="Arial"/>
        </w:rPr>
        <w:t>e</w:t>
      </w:r>
      <w:r w:rsidR="00174D76">
        <w:rPr>
          <w:rFonts w:ascii="Arial" w:hAnsi="Arial" w:cs="Arial"/>
        </w:rPr>
        <w:t xml:space="preserve"> funding to a number of grants to local authorities and </w:t>
      </w:r>
      <w:r w:rsidR="00A1654F">
        <w:rPr>
          <w:rFonts w:ascii="Arial" w:hAnsi="Arial" w:cs="Arial"/>
        </w:rPr>
        <w:t xml:space="preserve">made </w:t>
      </w:r>
      <w:r w:rsidR="00174D76">
        <w:rPr>
          <w:rFonts w:ascii="Arial" w:hAnsi="Arial" w:cs="Arial"/>
        </w:rPr>
        <w:t>other funding decisions from which local authorities will directly benefit</w:t>
      </w:r>
      <w:r w:rsidR="001A7A91">
        <w:rPr>
          <w:rFonts w:ascii="Arial" w:hAnsi="Arial" w:cs="Arial"/>
        </w:rPr>
        <w:t xml:space="preserve">.  </w:t>
      </w:r>
      <w:r w:rsidR="00174D76">
        <w:rPr>
          <w:rFonts w:ascii="Arial" w:hAnsi="Arial" w:cs="Arial"/>
        </w:rPr>
        <w:t>A</w:t>
      </w:r>
      <w:r w:rsidR="009E5ECF" w:rsidRPr="00BD459D">
        <w:rPr>
          <w:rFonts w:ascii="Arial" w:hAnsi="Arial" w:cs="Arial"/>
        </w:rPr>
        <w:t>n additional</w:t>
      </w:r>
      <w:r w:rsidR="009A6551" w:rsidRPr="00BD459D">
        <w:rPr>
          <w:rFonts w:ascii="Arial" w:hAnsi="Arial" w:cs="Arial"/>
        </w:rPr>
        <w:t xml:space="preserve"> £30 million </w:t>
      </w:r>
      <w:r w:rsidR="006575C0">
        <w:rPr>
          <w:rFonts w:ascii="Arial" w:hAnsi="Arial" w:cs="Arial"/>
        </w:rPr>
        <w:t xml:space="preserve">targeted funding for social care </w:t>
      </w:r>
      <w:r w:rsidR="009A6551" w:rsidRPr="00BD459D">
        <w:rPr>
          <w:rFonts w:ascii="Arial" w:hAnsi="Arial" w:cs="Arial"/>
        </w:rPr>
        <w:t xml:space="preserve">outside the </w:t>
      </w:r>
      <w:r w:rsidR="009A6551" w:rsidRPr="00800680">
        <w:rPr>
          <w:rFonts w:ascii="Arial" w:hAnsi="Arial" w:cs="Arial"/>
        </w:rPr>
        <w:t>settlement</w:t>
      </w:r>
      <w:r w:rsidR="006575C0" w:rsidRPr="00800680">
        <w:rPr>
          <w:rFonts w:ascii="Arial" w:hAnsi="Arial" w:cs="Arial"/>
        </w:rPr>
        <w:t xml:space="preserve"> is being made available, bringing the total additional investment in social care in 2019-20 to £50</w:t>
      </w:r>
      <w:r w:rsidR="00FF098E">
        <w:rPr>
          <w:rFonts w:ascii="Arial" w:hAnsi="Arial" w:cs="Arial"/>
        </w:rPr>
        <w:t xml:space="preserve"> </w:t>
      </w:r>
      <w:r w:rsidR="006575C0" w:rsidRPr="00800680">
        <w:rPr>
          <w:rFonts w:ascii="Arial" w:hAnsi="Arial" w:cs="Arial"/>
        </w:rPr>
        <w:t>m</w:t>
      </w:r>
      <w:r w:rsidR="00FF098E">
        <w:rPr>
          <w:rFonts w:ascii="Arial" w:hAnsi="Arial" w:cs="Arial"/>
        </w:rPr>
        <w:t>illion</w:t>
      </w:r>
      <w:r w:rsidR="006575C0" w:rsidRPr="00800680">
        <w:rPr>
          <w:rFonts w:ascii="Arial" w:hAnsi="Arial" w:cs="Arial"/>
        </w:rPr>
        <w:t xml:space="preserve"> compared to previously</w:t>
      </w:r>
      <w:r w:rsidR="00A1654F">
        <w:rPr>
          <w:rFonts w:ascii="Arial" w:hAnsi="Arial" w:cs="Arial"/>
        </w:rPr>
        <w:t xml:space="preserve"> </w:t>
      </w:r>
      <w:r w:rsidR="006575C0" w:rsidRPr="00800680">
        <w:rPr>
          <w:rFonts w:ascii="Arial" w:hAnsi="Arial" w:cs="Arial"/>
        </w:rPr>
        <w:t>published plans for the year</w:t>
      </w:r>
      <w:r w:rsidR="001A7A91">
        <w:rPr>
          <w:rFonts w:ascii="Arial" w:hAnsi="Arial" w:cs="Arial"/>
        </w:rPr>
        <w:t>.</w:t>
      </w:r>
    </w:p>
    <w:p w:rsidR="00B924BB" w:rsidRPr="00800680" w:rsidRDefault="00B924BB" w:rsidP="00CE58B7">
      <w:pPr>
        <w:keepLines/>
        <w:rPr>
          <w:rFonts w:ascii="Arial" w:hAnsi="Arial" w:cs="Arial"/>
        </w:rPr>
      </w:pPr>
    </w:p>
    <w:p w:rsidR="009E5ECF" w:rsidRPr="00800680" w:rsidRDefault="006575C0" w:rsidP="00CE58B7">
      <w:pPr>
        <w:keepLines/>
        <w:rPr>
          <w:rFonts w:ascii="Arial" w:hAnsi="Arial" w:cs="Arial"/>
        </w:rPr>
      </w:pPr>
      <w:r w:rsidRPr="00800680">
        <w:rPr>
          <w:rFonts w:ascii="Arial" w:hAnsi="Arial" w:cs="Arial"/>
        </w:rPr>
        <w:t xml:space="preserve">The importance of education is reflected </w:t>
      </w:r>
      <w:r w:rsidR="00A1654F">
        <w:rPr>
          <w:rFonts w:ascii="Arial" w:hAnsi="Arial" w:cs="Arial"/>
        </w:rPr>
        <w:t xml:space="preserve">in </w:t>
      </w:r>
      <w:r w:rsidRPr="00800680">
        <w:rPr>
          <w:rFonts w:ascii="Arial" w:hAnsi="Arial" w:cs="Arial"/>
        </w:rPr>
        <w:t>an additional</w:t>
      </w:r>
      <w:r w:rsidR="00A1654F">
        <w:rPr>
          <w:rFonts w:ascii="Arial" w:hAnsi="Arial" w:cs="Arial"/>
        </w:rPr>
        <w:t xml:space="preserve"> </w:t>
      </w:r>
      <w:r w:rsidRPr="00800680">
        <w:rPr>
          <w:rFonts w:ascii="Arial" w:hAnsi="Arial" w:cs="Arial"/>
        </w:rPr>
        <w:t>£15</w:t>
      </w:r>
      <w:r w:rsidR="00FF098E">
        <w:rPr>
          <w:rFonts w:ascii="Arial" w:hAnsi="Arial" w:cs="Arial"/>
        </w:rPr>
        <w:t xml:space="preserve"> </w:t>
      </w:r>
      <w:r w:rsidRPr="00800680">
        <w:rPr>
          <w:rFonts w:ascii="Arial" w:hAnsi="Arial" w:cs="Arial"/>
        </w:rPr>
        <w:t>m</w:t>
      </w:r>
      <w:r w:rsidR="00FF098E">
        <w:rPr>
          <w:rFonts w:ascii="Arial" w:hAnsi="Arial" w:cs="Arial"/>
        </w:rPr>
        <w:t>illion</w:t>
      </w:r>
      <w:r w:rsidRPr="00800680">
        <w:rPr>
          <w:rFonts w:ascii="Arial" w:hAnsi="Arial" w:cs="Arial"/>
        </w:rPr>
        <w:t xml:space="preserve">, allocated through the Education </w:t>
      </w:r>
      <w:r w:rsidR="00A1654F">
        <w:rPr>
          <w:rFonts w:ascii="Arial" w:hAnsi="Arial" w:cs="Arial"/>
        </w:rPr>
        <w:t>Main Expenditure Group</w:t>
      </w:r>
      <w:r w:rsidRPr="00800680">
        <w:rPr>
          <w:rFonts w:ascii="Arial" w:hAnsi="Arial" w:cs="Arial"/>
        </w:rPr>
        <w:t>, for schools</w:t>
      </w:r>
      <w:r w:rsidR="001A7A91">
        <w:rPr>
          <w:rFonts w:ascii="Arial" w:hAnsi="Arial" w:cs="Arial"/>
        </w:rPr>
        <w:t xml:space="preserve">.  </w:t>
      </w:r>
      <w:r w:rsidRPr="00800680">
        <w:rPr>
          <w:rFonts w:ascii="Arial" w:hAnsi="Arial" w:cs="Arial"/>
        </w:rPr>
        <w:t xml:space="preserve">We are committed to investing in raising school standards and removing barriers to learning to support young </w:t>
      </w:r>
      <w:r w:rsidR="001A7A91">
        <w:rPr>
          <w:rFonts w:ascii="Arial" w:hAnsi="Arial" w:cs="Arial"/>
        </w:rPr>
        <w:t>people to reach their potential.</w:t>
      </w:r>
    </w:p>
    <w:p w:rsidR="006575C0" w:rsidRPr="00800680" w:rsidRDefault="006575C0" w:rsidP="00CE58B7">
      <w:pPr>
        <w:keepLines/>
        <w:rPr>
          <w:rFonts w:ascii="Arial" w:hAnsi="Arial" w:cs="Arial"/>
        </w:rPr>
      </w:pPr>
    </w:p>
    <w:p w:rsidR="004364AE" w:rsidRPr="00C21D63" w:rsidRDefault="00FB42D4" w:rsidP="00CE58B7">
      <w:pPr>
        <w:pStyle w:val="ListParagraph"/>
        <w:keepLines/>
        <w:spacing w:after="0" w:line="240" w:lineRule="auto"/>
        <w:ind w:left="0"/>
        <w:contextualSpacing w:val="0"/>
        <w:rPr>
          <w:rFonts w:ascii="Arial" w:hAnsi="Arial"/>
          <w:sz w:val="24"/>
          <w:szCs w:val="24"/>
        </w:rPr>
      </w:pPr>
      <w:r w:rsidRPr="00FB42D4">
        <w:rPr>
          <w:rFonts w:ascii="Arial" w:hAnsi="Arial" w:cs="Arial"/>
          <w:sz w:val="24"/>
          <w:szCs w:val="24"/>
        </w:rPr>
        <w:t>Alongside the settlement we are, again, providing £600,000 to support local government to eliminate charging for child burials</w:t>
      </w:r>
      <w:r w:rsidR="001A7A91">
        <w:rPr>
          <w:rFonts w:ascii="Arial" w:hAnsi="Arial" w:cs="Arial"/>
          <w:sz w:val="24"/>
          <w:szCs w:val="24"/>
        </w:rPr>
        <w:t xml:space="preserve">.  </w:t>
      </w:r>
      <w:r w:rsidRPr="00FB42D4">
        <w:rPr>
          <w:rFonts w:ascii="Arial" w:hAnsi="Arial" w:cs="Arial"/>
          <w:sz w:val="24"/>
          <w:szCs w:val="24"/>
        </w:rPr>
        <w:t>This recognises and builds on the positive steps already taken by all councils in Wales and continues to ensure a fair and consistent approach across Wales</w:t>
      </w:r>
      <w:r w:rsidR="004364AE" w:rsidRPr="00C21D63">
        <w:rPr>
          <w:rFonts w:ascii="Arial" w:hAnsi="Arial"/>
          <w:sz w:val="24"/>
          <w:szCs w:val="24"/>
        </w:rPr>
        <w:t>.</w:t>
      </w:r>
    </w:p>
    <w:p w:rsidR="004364AE" w:rsidRPr="00C21D63" w:rsidRDefault="004364AE" w:rsidP="00CE58B7">
      <w:pPr>
        <w:keepLines/>
        <w:rPr>
          <w:rFonts w:ascii="Arial" w:hAnsi="Arial" w:cs="Arial"/>
        </w:rPr>
      </w:pPr>
    </w:p>
    <w:p w:rsidR="004364AE" w:rsidRPr="00C21D63" w:rsidRDefault="004364AE" w:rsidP="00CE58B7">
      <w:pPr>
        <w:keepLines/>
        <w:autoSpaceDE w:val="0"/>
        <w:autoSpaceDN w:val="0"/>
        <w:adjustRightInd w:val="0"/>
        <w:rPr>
          <w:rFonts w:ascii="Arial" w:hAnsi="Arial" w:cs="Arial"/>
          <w:iCs/>
        </w:rPr>
      </w:pPr>
      <w:r w:rsidRPr="00C21D63">
        <w:rPr>
          <w:rFonts w:ascii="Arial" w:hAnsi="Arial" w:cs="Arial"/>
          <w:iCs/>
        </w:rPr>
        <w:t>This Welsh Government remains committed to protecting vulnerable and low-income households from any reduction in support under the Council Tax Reduction Schemes, despite the shortfall in the funding transferred by the UK Government following its abolition of Council Tax Benefit.</w:t>
      </w:r>
    </w:p>
    <w:p w:rsidR="004364AE" w:rsidRPr="00C21D63" w:rsidRDefault="004364AE" w:rsidP="00CE58B7">
      <w:pPr>
        <w:keepLines/>
        <w:autoSpaceDE w:val="0"/>
        <w:autoSpaceDN w:val="0"/>
        <w:adjustRightInd w:val="0"/>
        <w:rPr>
          <w:rFonts w:ascii="Arial" w:hAnsi="Arial" w:cs="Arial"/>
          <w:iCs/>
        </w:rPr>
      </w:pPr>
    </w:p>
    <w:p w:rsidR="004364AE" w:rsidRPr="00C21D63" w:rsidRDefault="00C21D63" w:rsidP="00CE58B7">
      <w:pPr>
        <w:keepLines/>
        <w:autoSpaceDE w:val="0"/>
        <w:autoSpaceDN w:val="0"/>
        <w:adjustRightInd w:val="0"/>
        <w:rPr>
          <w:rFonts w:ascii="Arial" w:hAnsi="Arial" w:cs="Arial"/>
          <w:iCs/>
        </w:rPr>
      </w:pPr>
      <w:r w:rsidRPr="00C21D63">
        <w:rPr>
          <w:rFonts w:ascii="Arial" w:hAnsi="Arial" w:cs="Arial"/>
        </w:rPr>
        <w:t>We will</w:t>
      </w:r>
      <w:r w:rsidR="004364AE" w:rsidRPr="00C21D63">
        <w:rPr>
          <w:rFonts w:ascii="Arial" w:hAnsi="Arial" w:cs="Arial"/>
        </w:rPr>
        <w:t xml:space="preserve"> continue to maintain full entitlements under our Council Tax Reduction Scheme (CTRS) for 201</w:t>
      </w:r>
      <w:r w:rsidRPr="00C21D63">
        <w:rPr>
          <w:rFonts w:ascii="Arial" w:hAnsi="Arial" w:cs="Arial"/>
        </w:rPr>
        <w:t>9-20</w:t>
      </w:r>
      <w:r w:rsidR="006575C0">
        <w:rPr>
          <w:rFonts w:ascii="Arial" w:hAnsi="Arial" w:cs="Arial"/>
        </w:rPr>
        <w:t xml:space="preserve"> and</w:t>
      </w:r>
      <w:r w:rsidR="004364AE" w:rsidRPr="00C21D63">
        <w:rPr>
          <w:rFonts w:ascii="Arial" w:hAnsi="Arial" w:cs="Arial"/>
        </w:rPr>
        <w:t xml:space="preserve"> are again providing </w:t>
      </w:r>
      <w:r w:rsidR="004364AE" w:rsidRPr="00C21D63">
        <w:rPr>
          <w:rFonts w:ascii="Arial" w:hAnsi="Arial" w:cs="Arial"/>
          <w:iCs/>
        </w:rPr>
        <w:t>£244</w:t>
      </w:r>
      <w:r w:rsidR="00FF098E">
        <w:rPr>
          <w:rFonts w:ascii="Arial" w:hAnsi="Arial" w:cs="Arial"/>
          <w:iCs/>
        </w:rPr>
        <w:t xml:space="preserve"> </w:t>
      </w:r>
      <w:r w:rsidR="004364AE" w:rsidRPr="00C21D63">
        <w:rPr>
          <w:rFonts w:ascii="Arial" w:hAnsi="Arial" w:cs="Arial"/>
          <w:iCs/>
        </w:rPr>
        <w:t>m</w:t>
      </w:r>
      <w:r w:rsidR="00FF098E">
        <w:rPr>
          <w:rFonts w:ascii="Arial" w:hAnsi="Arial" w:cs="Arial"/>
          <w:iCs/>
        </w:rPr>
        <w:t>illion</w:t>
      </w:r>
      <w:r w:rsidR="004364AE" w:rsidRPr="00C21D63">
        <w:rPr>
          <w:rFonts w:ascii="Arial" w:hAnsi="Arial" w:cs="Arial"/>
          <w:iCs/>
        </w:rPr>
        <w:t xml:space="preserve"> for CTRS in the </w:t>
      </w:r>
      <w:r w:rsidR="00A1654F" w:rsidRPr="00C21D63">
        <w:rPr>
          <w:rFonts w:ascii="Arial" w:hAnsi="Arial" w:cs="Arial"/>
          <w:iCs/>
        </w:rPr>
        <w:t>local government settlement</w:t>
      </w:r>
      <w:r w:rsidR="00A1654F">
        <w:rPr>
          <w:rFonts w:ascii="Arial" w:hAnsi="Arial" w:cs="Arial"/>
          <w:iCs/>
        </w:rPr>
        <w:t xml:space="preserve"> </w:t>
      </w:r>
      <w:r w:rsidR="006575C0">
        <w:rPr>
          <w:rFonts w:ascii="Arial" w:hAnsi="Arial" w:cs="Arial"/>
          <w:iCs/>
        </w:rPr>
        <w:t>in recognition of this</w:t>
      </w:r>
      <w:r w:rsidR="001A7A91">
        <w:rPr>
          <w:rFonts w:ascii="Arial" w:hAnsi="Arial" w:cs="Arial"/>
          <w:iCs/>
        </w:rPr>
        <w:t xml:space="preserve">.  </w:t>
      </w:r>
      <w:r w:rsidR="004364AE" w:rsidRPr="00C21D63">
        <w:rPr>
          <w:rFonts w:ascii="Arial" w:hAnsi="Arial" w:cs="Arial"/>
        </w:rPr>
        <w:t xml:space="preserve">The arrangements for </w:t>
      </w:r>
      <w:r w:rsidRPr="00C21D63">
        <w:rPr>
          <w:rFonts w:ascii="Arial" w:hAnsi="Arial" w:cs="Arial"/>
        </w:rPr>
        <w:t>2020-21</w:t>
      </w:r>
      <w:r w:rsidR="004364AE" w:rsidRPr="00C21D63">
        <w:rPr>
          <w:rFonts w:ascii="Arial" w:hAnsi="Arial" w:cs="Arial"/>
        </w:rPr>
        <w:t xml:space="preserve"> onwards will be determined as part of our wider considerations about how to make council tax fairer.</w:t>
      </w:r>
    </w:p>
    <w:p w:rsidR="004364AE" w:rsidRPr="00C21D63" w:rsidRDefault="004364AE" w:rsidP="00CE58B7">
      <w:pPr>
        <w:keepLines/>
        <w:rPr>
          <w:rFonts w:ascii="Arial" w:hAnsi="Arial" w:cs="Arial"/>
        </w:rPr>
      </w:pPr>
    </w:p>
    <w:p w:rsidR="004364AE" w:rsidRPr="00BD459D" w:rsidRDefault="004364AE" w:rsidP="00CE58B7">
      <w:pPr>
        <w:keepLines/>
        <w:rPr>
          <w:rFonts w:ascii="Arial" w:hAnsi="Arial" w:cs="Arial"/>
        </w:rPr>
      </w:pPr>
      <w:r w:rsidRPr="00C21D63">
        <w:rPr>
          <w:rFonts w:ascii="Arial" w:hAnsi="Arial" w:cs="Arial"/>
        </w:rPr>
        <w:t>Prior to the final settlement</w:t>
      </w:r>
      <w:r w:rsidR="00080E21">
        <w:rPr>
          <w:rFonts w:ascii="Arial" w:hAnsi="Arial" w:cs="Arial"/>
        </w:rPr>
        <w:t>,</w:t>
      </w:r>
      <w:r w:rsidRPr="00C21D63">
        <w:rPr>
          <w:rFonts w:ascii="Arial" w:hAnsi="Arial" w:cs="Arial"/>
        </w:rPr>
        <w:t xml:space="preserve"> we will consider further evidence collected </w:t>
      </w:r>
      <w:r w:rsidR="00080E21">
        <w:rPr>
          <w:rFonts w:ascii="Arial" w:hAnsi="Arial" w:cs="Arial"/>
        </w:rPr>
        <w:t>about</w:t>
      </w:r>
      <w:r w:rsidR="00080E21" w:rsidRPr="00C21D63">
        <w:rPr>
          <w:rFonts w:ascii="Arial" w:hAnsi="Arial" w:cs="Arial"/>
        </w:rPr>
        <w:t xml:space="preserve"> </w:t>
      </w:r>
      <w:r w:rsidRPr="00C21D63">
        <w:rPr>
          <w:rFonts w:ascii="Arial" w:hAnsi="Arial" w:cs="Arial"/>
        </w:rPr>
        <w:t>the financial impact of increasing the capital limit used in charging for residential care</w:t>
      </w:r>
      <w:r w:rsidR="001A7A91">
        <w:rPr>
          <w:rFonts w:ascii="Arial" w:hAnsi="Arial" w:cs="Arial"/>
        </w:rPr>
        <w:t xml:space="preserve">.  </w:t>
      </w:r>
      <w:r w:rsidRPr="00BD459D">
        <w:rPr>
          <w:rFonts w:ascii="Arial" w:hAnsi="Arial" w:cs="Arial"/>
        </w:rPr>
        <w:t>This will allow a decision to be taken on the next stage of increasing this limit to deliver our commitment to raise it to £50,000 during the lifetime of this government</w:t>
      </w:r>
      <w:r w:rsidR="00E87499">
        <w:rPr>
          <w:rFonts w:ascii="Arial" w:hAnsi="Arial" w:cs="Arial"/>
        </w:rPr>
        <w:t xml:space="preserve"> and to reflect any financial implications of that decision for 2019-20 in the final settlement</w:t>
      </w:r>
      <w:r w:rsidRPr="00BD459D">
        <w:rPr>
          <w:rFonts w:ascii="Arial" w:hAnsi="Arial" w:cs="Arial"/>
        </w:rPr>
        <w:t>.</w:t>
      </w:r>
    </w:p>
    <w:p w:rsidR="004364AE" w:rsidRPr="00A56689" w:rsidRDefault="004364AE" w:rsidP="00CE58B7">
      <w:pPr>
        <w:keepLines/>
        <w:rPr>
          <w:rFonts w:ascii="Arial" w:hAnsi="Arial" w:cs="Arial"/>
          <w:color w:val="FF0000"/>
        </w:rPr>
      </w:pPr>
    </w:p>
    <w:p w:rsidR="00BD459D" w:rsidRPr="00BD459D" w:rsidRDefault="004364AE" w:rsidP="00CE58B7">
      <w:pPr>
        <w:keepLines/>
        <w:rPr>
          <w:rFonts w:ascii="Arial" w:hAnsi="Arial" w:cs="Arial"/>
        </w:rPr>
      </w:pPr>
      <w:r w:rsidRPr="00BD459D">
        <w:rPr>
          <w:rFonts w:ascii="Arial" w:hAnsi="Arial" w:cs="Arial"/>
        </w:rPr>
        <w:t xml:space="preserve">While </w:t>
      </w:r>
      <w:r w:rsidR="00BD459D" w:rsidRPr="00BD459D">
        <w:rPr>
          <w:rFonts w:ascii="Arial" w:hAnsi="Arial" w:cs="Arial"/>
        </w:rPr>
        <w:t>we have worked hard to offer local government the best settlement possible</w:t>
      </w:r>
      <w:r w:rsidRPr="00BD459D">
        <w:rPr>
          <w:rFonts w:ascii="Arial" w:hAnsi="Arial" w:cs="Arial"/>
        </w:rPr>
        <w:t xml:space="preserve">, I recognise that this settlement is a real terms cut in core funding, when authorities face real pressures from things </w:t>
      </w:r>
      <w:r w:rsidR="00080E21" w:rsidRPr="00BD459D">
        <w:rPr>
          <w:rFonts w:ascii="Arial" w:hAnsi="Arial" w:cs="Arial"/>
        </w:rPr>
        <w:t xml:space="preserve">such </w:t>
      </w:r>
      <w:r w:rsidRPr="00BD459D">
        <w:rPr>
          <w:rFonts w:ascii="Arial" w:hAnsi="Arial" w:cs="Arial"/>
        </w:rPr>
        <w:t xml:space="preserve">as an ageing population, pay </w:t>
      </w:r>
      <w:r w:rsidR="00080E21">
        <w:rPr>
          <w:rFonts w:ascii="Arial" w:hAnsi="Arial" w:cs="Arial"/>
        </w:rPr>
        <w:t xml:space="preserve">awards </w:t>
      </w:r>
      <w:r w:rsidRPr="00BD459D">
        <w:rPr>
          <w:rFonts w:ascii="Arial" w:hAnsi="Arial" w:cs="Arial"/>
        </w:rPr>
        <w:t>and other inflationary pressures</w:t>
      </w:r>
      <w:r w:rsidR="001A7A91">
        <w:rPr>
          <w:rFonts w:ascii="Arial" w:hAnsi="Arial" w:cs="Arial"/>
        </w:rPr>
        <w:t xml:space="preserve">.  </w:t>
      </w:r>
      <w:r w:rsidRPr="00BD459D">
        <w:rPr>
          <w:rFonts w:ascii="Arial" w:hAnsi="Arial" w:cs="Arial"/>
        </w:rPr>
        <w:t>Therefore, it is vital that we continue to work together to deliver efficiencies</w:t>
      </w:r>
      <w:r w:rsidR="00080E21">
        <w:rPr>
          <w:rFonts w:ascii="Arial" w:hAnsi="Arial" w:cs="Arial"/>
        </w:rPr>
        <w:t xml:space="preserve"> and develop more effective ways of delivering services</w:t>
      </w:r>
      <w:r w:rsidRPr="00BD459D">
        <w:rPr>
          <w:rFonts w:ascii="Arial" w:hAnsi="Arial" w:cs="Arial"/>
        </w:rPr>
        <w:t>.</w:t>
      </w:r>
    </w:p>
    <w:p w:rsidR="00BD459D" w:rsidRDefault="00BD459D" w:rsidP="00CE58B7">
      <w:pPr>
        <w:keepLines/>
        <w:rPr>
          <w:rFonts w:ascii="Arial" w:hAnsi="Arial" w:cs="Arial"/>
          <w:color w:val="FF0000"/>
        </w:rPr>
      </w:pPr>
    </w:p>
    <w:p w:rsidR="004364AE" w:rsidRPr="00A56689" w:rsidRDefault="00BD459D" w:rsidP="00CE58B7">
      <w:pPr>
        <w:keepLines/>
        <w:rPr>
          <w:rFonts w:ascii="Arial" w:hAnsi="Arial" w:cs="Arial"/>
          <w:color w:val="FF0000"/>
        </w:rPr>
      </w:pPr>
      <w:r w:rsidRPr="00BD459D">
        <w:rPr>
          <w:rFonts w:ascii="Arial" w:hAnsi="Arial" w:cs="Arial"/>
        </w:rPr>
        <w:t>I</w:t>
      </w:r>
      <w:r w:rsidR="004364AE" w:rsidRPr="00BD459D">
        <w:rPr>
          <w:rFonts w:ascii="Arial" w:hAnsi="Arial" w:cs="Arial"/>
        </w:rPr>
        <w:t xml:space="preserve"> have listened carefully to the case made by Welsh councils that one way in which </w:t>
      </w:r>
      <w:r w:rsidRPr="00BD459D">
        <w:rPr>
          <w:rFonts w:ascii="Arial" w:hAnsi="Arial" w:cs="Arial"/>
        </w:rPr>
        <w:t xml:space="preserve">efficiencies </w:t>
      </w:r>
      <w:r w:rsidR="004364AE" w:rsidRPr="00BD459D">
        <w:rPr>
          <w:rFonts w:ascii="Arial" w:hAnsi="Arial" w:cs="Arial"/>
        </w:rPr>
        <w:t xml:space="preserve">can be </w:t>
      </w:r>
      <w:r w:rsidRPr="00BD459D">
        <w:rPr>
          <w:rFonts w:ascii="Arial" w:hAnsi="Arial" w:cs="Arial"/>
        </w:rPr>
        <w:t xml:space="preserve">realised </w:t>
      </w:r>
      <w:r w:rsidR="004364AE" w:rsidRPr="00BD459D">
        <w:rPr>
          <w:rFonts w:ascii="Arial" w:hAnsi="Arial" w:cs="Arial"/>
        </w:rPr>
        <w:t>is through reducing the administrative costs associated with specific grants and to provide greater flexibility to authorities in using these resources</w:t>
      </w:r>
      <w:r w:rsidR="00B97972">
        <w:rPr>
          <w:rFonts w:ascii="Arial" w:hAnsi="Arial" w:cs="Arial"/>
        </w:rPr>
        <w:t xml:space="preserve"> to support vulnerable people</w:t>
      </w:r>
      <w:r w:rsidR="001A7A91">
        <w:rPr>
          <w:rFonts w:ascii="Arial" w:hAnsi="Arial" w:cs="Arial"/>
        </w:rPr>
        <w:t xml:space="preserve">.  </w:t>
      </w:r>
      <w:r w:rsidRPr="00BD459D">
        <w:rPr>
          <w:rFonts w:ascii="Arial" w:hAnsi="Arial" w:cs="Arial"/>
        </w:rPr>
        <w:t>On 3 October</w:t>
      </w:r>
      <w:r w:rsidR="00080E21">
        <w:rPr>
          <w:rFonts w:ascii="Arial" w:hAnsi="Arial" w:cs="Arial"/>
        </w:rPr>
        <w:t>,</w:t>
      </w:r>
      <w:r w:rsidRPr="00BD459D">
        <w:rPr>
          <w:rFonts w:ascii="Arial" w:hAnsi="Arial" w:cs="Arial"/>
        </w:rPr>
        <w:t xml:space="preserve"> I jointly announced, with the Minister for Housing and Regeneration, that </w:t>
      </w:r>
      <w:r w:rsidR="004364AE" w:rsidRPr="00BD459D">
        <w:rPr>
          <w:rFonts w:ascii="Arial" w:hAnsi="Arial" w:cs="Arial"/>
        </w:rPr>
        <w:t xml:space="preserve">we are amalgamating </w:t>
      </w:r>
      <w:r w:rsidRPr="00BD459D">
        <w:rPr>
          <w:rFonts w:ascii="Arial" w:hAnsi="Arial" w:cs="Arial"/>
        </w:rPr>
        <w:t>a number of grants and will be establishing a Children and Communities Grant (</w:t>
      </w:r>
      <w:r w:rsidR="00093989">
        <w:rPr>
          <w:rFonts w:ascii="Arial" w:hAnsi="Arial" w:cs="Arial"/>
        </w:rPr>
        <w:t>bringing together</w:t>
      </w:r>
      <w:r w:rsidR="00080E21" w:rsidRPr="00BD459D">
        <w:rPr>
          <w:rFonts w:ascii="Arial" w:hAnsi="Arial" w:cs="Arial"/>
        </w:rPr>
        <w:t xml:space="preserve"> </w:t>
      </w:r>
      <w:r w:rsidRPr="00BD459D">
        <w:rPr>
          <w:rFonts w:ascii="Arial" w:hAnsi="Arial" w:cs="Arial"/>
        </w:rPr>
        <w:t xml:space="preserve">seven </w:t>
      </w:r>
      <w:r w:rsidR="00080E21">
        <w:rPr>
          <w:rFonts w:ascii="Arial" w:hAnsi="Arial" w:cs="Arial"/>
        </w:rPr>
        <w:t xml:space="preserve">existing </w:t>
      </w:r>
      <w:r w:rsidR="00093989">
        <w:rPr>
          <w:rFonts w:ascii="Arial" w:hAnsi="Arial" w:cs="Arial"/>
        </w:rPr>
        <w:t>programmes</w:t>
      </w:r>
      <w:r w:rsidRPr="00BD459D">
        <w:rPr>
          <w:rFonts w:ascii="Arial" w:hAnsi="Arial" w:cs="Arial"/>
        </w:rPr>
        <w:t>) and a single Housing Support Grant (</w:t>
      </w:r>
      <w:r w:rsidR="00093989">
        <w:rPr>
          <w:rFonts w:ascii="Arial" w:hAnsi="Arial" w:cs="Arial"/>
        </w:rPr>
        <w:t>bringing together</w:t>
      </w:r>
      <w:r w:rsidR="00080E21" w:rsidRPr="00BD459D">
        <w:rPr>
          <w:rFonts w:ascii="Arial" w:hAnsi="Arial" w:cs="Arial"/>
        </w:rPr>
        <w:t xml:space="preserve"> </w:t>
      </w:r>
      <w:r w:rsidRPr="00BD459D">
        <w:rPr>
          <w:rFonts w:ascii="Arial" w:hAnsi="Arial" w:cs="Arial"/>
        </w:rPr>
        <w:t xml:space="preserve">a further three </w:t>
      </w:r>
      <w:r w:rsidR="00093989">
        <w:rPr>
          <w:rFonts w:ascii="Arial" w:hAnsi="Arial" w:cs="Arial"/>
        </w:rPr>
        <w:t>programmes</w:t>
      </w:r>
      <w:r w:rsidRPr="00BD459D">
        <w:rPr>
          <w:rFonts w:ascii="Arial" w:hAnsi="Arial" w:cs="Arial"/>
        </w:rPr>
        <w:t>)</w:t>
      </w:r>
      <w:r w:rsidR="00EA3B07">
        <w:rPr>
          <w:rFonts w:ascii="Arial" w:hAnsi="Arial" w:cs="Arial"/>
        </w:rPr>
        <w:t xml:space="preserve"> from 1 April 2019</w:t>
      </w:r>
      <w:r w:rsidR="001A7A91">
        <w:rPr>
          <w:rFonts w:ascii="Arial" w:hAnsi="Arial" w:cs="Arial"/>
        </w:rPr>
        <w:t xml:space="preserve">.  </w:t>
      </w:r>
      <w:r w:rsidR="004364AE" w:rsidRPr="00BD459D">
        <w:rPr>
          <w:rFonts w:ascii="Arial" w:hAnsi="Arial" w:cs="Arial"/>
        </w:rPr>
        <w:t xml:space="preserve">This </w:t>
      </w:r>
      <w:r w:rsidR="00B97972">
        <w:rPr>
          <w:rFonts w:ascii="Arial" w:hAnsi="Arial" w:cs="Arial"/>
        </w:rPr>
        <w:t xml:space="preserve">will </w:t>
      </w:r>
      <w:r w:rsidR="004364AE" w:rsidRPr="00BD459D">
        <w:rPr>
          <w:rFonts w:ascii="Arial" w:hAnsi="Arial" w:cs="Arial"/>
        </w:rPr>
        <w:t xml:space="preserve">increase flexibility for local authorities and </w:t>
      </w:r>
      <w:r w:rsidR="00B97972">
        <w:rPr>
          <w:rFonts w:ascii="Arial" w:hAnsi="Arial" w:cs="Arial"/>
        </w:rPr>
        <w:t xml:space="preserve">help to </w:t>
      </w:r>
      <w:r w:rsidR="004364AE" w:rsidRPr="00BD459D">
        <w:rPr>
          <w:rFonts w:ascii="Arial" w:hAnsi="Arial" w:cs="Arial"/>
        </w:rPr>
        <w:t>reduce the administrative burden associated with grant funding.</w:t>
      </w:r>
    </w:p>
    <w:p w:rsidR="00825358" w:rsidRDefault="00825358" w:rsidP="00CE58B7">
      <w:pPr>
        <w:keepLines/>
        <w:rPr>
          <w:rFonts w:ascii="Arial" w:hAnsi="Arial" w:cs="Arial"/>
        </w:rPr>
      </w:pPr>
    </w:p>
    <w:p w:rsidR="004364AE" w:rsidRPr="00BD459D" w:rsidRDefault="004364AE" w:rsidP="00CE58B7">
      <w:pPr>
        <w:keepLines/>
        <w:rPr>
          <w:rFonts w:ascii="Arial" w:hAnsi="Arial" w:cs="Arial"/>
        </w:rPr>
      </w:pPr>
      <w:r w:rsidRPr="00BD459D">
        <w:rPr>
          <w:rFonts w:ascii="Arial" w:hAnsi="Arial" w:cs="Arial"/>
        </w:rPr>
        <w:t xml:space="preserve">Further details of the grants for local government will be published alongside the detailed </w:t>
      </w:r>
      <w:r w:rsidR="00080E21" w:rsidRPr="00BD459D">
        <w:rPr>
          <w:rFonts w:ascii="Arial" w:hAnsi="Arial" w:cs="Arial"/>
        </w:rPr>
        <w:t xml:space="preserve">Draft </w:t>
      </w:r>
      <w:r w:rsidRPr="00BD459D">
        <w:rPr>
          <w:rFonts w:ascii="Arial" w:hAnsi="Arial" w:cs="Arial"/>
        </w:rPr>
        <w:t>Budget on 2</w:t>
      </w:r>
      <w:r w:rsidR="004E49CD" w:rsidRPr="00BD459D">
        <w:rPr>
          <w:rFonts w:ascii="Arial" w:hAnsi="Arial" w:cs="Arial"/>
        </w:rPr>
        <w:t>3</w:t>
      </w:r>
      <w:r w:rsidRPr="00BD459D">
        <w:rPr>
          <w:rFonts w:ascii="Arial" w:hAnsi="Arial" w:cs="Arial"/>
        </w:rPr>
        <w:t xml:space="preserve"> October.</w:t>
      </w:r>
    </w:p>
    <w:p w:rsidR="004364AE" w:rsidRPr="00A56689" w:rsidRDefault="004364AE" w:rsidP="00CE58B7">
      <w:pPr>
        <w:keepLines/>
        <w:rPr>
          <w:rFonts w:ascii="Arial" w:hAnsi="Arial" w:cs="Arial"/>
          <w:color w:val="FF0000"/>
        </w:rPr>
      </w:pPr>
    </w:p>
    <w:p w:rsidR="004364AE" w:rsidRPr="00BD459D" w:rsidRDefault="004364AE" w:rsidP="00CE58B7">
      <w:pPr>
        <w:keepLines/>
        <w:rPr>
          <w:rFonts w:ascii="Arial" w:hAnsi="Arial" w:cs="Arial"/>
        </w:rPr>
      </w:pPr>
      <w:r w:rsidRPr="00BD459D">
        <w:rPr>
          <w:rFonts w:ascii="Arial" w:hAnsi="Arial" w:cs="Arial"/>
        </w:rPr>
        <w:t>Attached to this statement is a summary table setting out the settlement allocations by authority</w:t>
      </w:r>
      <w:r w:rsidR="001A7A91">
        <w:rPr>
          <w:rFonts w:ascii="Arial" w:hAnsi="Arial" w:cs="Arial"/>
        </w:rPr>
        <w:t xml:space="preserve">.  </w:t>
      </w:r>
      <w:r w:rsidRPr="00BD459D">
        <w:rPr>
          <w:rFonts w:ascii="Arial" w:hAnsi="Arial" w:cs="Arial"/>
        </w:rPr>
        <w:t xml:space="preserve">The allocations are derived </w:t>
      </w:r>
      <w:r w:rsidR="00477C07">
        <w:rPr>
          <w:rFonts w:ascii="Arial" w:hAnsi="Arial" w:cs="Arial"/>
        </w:rPr>
        <w:t>using</w:t>
      </w:r>
      <w:r w:rsidR="00477C07" w:rsidRPr="00BD459D">
        <w:rPr>
          <w:rFonts w:ascii="Arial" w:hAnsi="Arial" w:cs="Arial"/>
        </w:rPr>
        <w:t xml:space="preserve"> </w:t>
      </w:r>
      <w:r w:rsidRPr="00BD459D">
        <w:rPr>
          <w:rFonts w:ascii="Arial" w:hAnsi="Arial" w:cs="Arial"/>
        </w:rPr>
        <w:t>the formula agreed with local government</w:t>
      </w:r>
      <w:r w:rsidR="001A7A91">
        <w:rPr>
          <w:rFonts w:ascii="Arial" w:hAnsi="Arial" w:cs="Arial"/>
        </w:rPr>
        <w:t xml:space="preserve">.  </w:t>
      </w:r>
      <w:r w:rsidRPr="00BD459D">
        <w:rPr>
          <w:rFonts w:ascii="Arial" w:hAnsi="Arial" w:cs="Arial"/>
        </w:rPr>
        <w:t>As a result of the formula and related data, the table shows the range of the funding allocations</w:t>
      </w:r>
      <w:r w:rsidR="001A7A91">
        <w:rPr>
          <w:rFonts w:ascii="Arial" w:hAnsi="Arial" w:cs="Arial"/>
        </w:rPr>
        <w:t xml:space="preserve">.  </w:t>
      </w:r>
      <w:r w:rsidRPr="00BD459D">
        <w:rPr>
          <w:rFonts w:ascii="Arial" w:hAnsi="Arial" w:cs="Arial"/>
        </w:rPr>
        <w:t xml:space="preserve">The inclusion of additional resources to support a floor arrangement benefits </w:t>
      </w:r>
      <w:r w:rsidR="00F26882" w:rsidRPr="00BD459D">
        <w:rPr>
          <w:rFonts w:ascii="Arial" w:hAnsi="Arial" w:cs="Arial"/>
        </w:rPr>
        <w:t xml:space="preserve">five </w:t>
      </w:r>
      <w:r w:rsidRPr="00BD459D">
        <w:rPr>
          <w:rFonts w:ascii="Arial" w:hAnsi="Arial" w:cs="Arial"/>
        </w:rPr>
        <w:t>authorities</w:t>
      </w:r>
      <w:r w:rsidR="001A7A91">
        <w:rPr>
          <w:rFonts w:ascii="Arial" w:hAnsi="Arial" w:cs="Arial"/>
        </w:rPr>
        <w:t xml:space="preserve">.  </w:t>
      </w:r>
      <w:r w:rsidR="00F26882" w:rsidRPr="00BD459D">
        <w:rPr>
          <w:rFonts w:ascii="Arial" w:hAnsi="Arial" w:cs="Arial"/>
        </w:rPr>
        <w:t xml:space="preserve">Six </w:t>
      </w:r>
      <w:r w:rsidRPr="00BD459D">
        <w:rPr>
          <w:rFonts w:ascii="Arial" w:hAnsi="Arial" w:cs="Arial"/>
        </w:rPr>
        <w:t>authorit</w:t>
      </w:r>
      <w:r w:rsidR="00F26882" w:rsidRPr="00BD459D">
        <w:rPr>
          <w:rFonts w:ascii="Arial" w:hAnsi="Arial" w:cs="Arial"/>
        </w:rPr>
        <w:t>ies</w:t>
      </w:r>
      <w:r w:rsidRPr="00BD459D">
        <w:rPr>
          <w:rFonts w:ascii="Arial" w:hAnsi="Arial" w:cs="Arial"/>
        </w:rPr>
        <w:t xml:space="preserve"> receive an overall increase in </w:t>
      </w:r>
      <w:r w:rsidR="00F26882" w:rsidRPr="00BD459D">
        <w:rPr>
          <w:rFonts w:ascii="Arial" w:hAnsi="Arial" w:cs="Arial"/>
        </w:rPr>
        <w:t xml:space="preserve">their </w:t>
      </w:r>
      <w:r w:rsidRPr="00BD459D">
        <w:rPr>
          <w:rFonts w:ascii="Arial" w:hAnsi="Arial" w:cs="Arial"/>
        </w:rPr>
        <w:t>settlement on a like</w:t>
      </w:r>
      <w:r w:rsidR="00477C07">
        <w:rPr>
          <w:rFonts w:ascii="Arial" w:hAnsi="Arial" w:cs="Arial"/>
        </w:rPr>
        <w:t>-</w:t>
      </w:r>
      <w:r w:rsidRPr="00BD459D">
        <w:rPr>
          <w:rFonts w:ascii="Arial" w:hAnsi="Arial" w:cs="Arial"/>
        </w:rPr>
        <w:t>for</w:t>
      </w:r>
      <w:r w:rsidR="00477C07">
        <w:rPr>
          <w:rFonts w:ascii="Arial" w:hAnsi="Arial" w:cs="Arial"/>
        </w:rPr>
        <w:t>-</w:t>
      </w:r>
      <w:r w:rsidRPr="00BD459D">
        <w:rPr>
          <w:rFonts w:ascii="Arial" w:hAnsi="Arial" w:cs="Arial"/>
        </w:rPr>
        <w:t>like basis.</w:t>
      </w:r>
    </w:p>
    <w:p w:rsidR="004364AE" w:rsidRPr="00A56689" w:rsidRDefault="004364AE" w:rsidP="00CE58B7">
      <w:pPr>
        <w:keepLines/>
        <w:rPr>
          <w:rFonts w:ascii="Arial" w:hAnsi="Arial" w:cs="Arial"/>
          <w:color w:val="FF0000"/>
        </w:rPr>
      </w:pPr>
    </w:p>
    <w:p w:rsidR="001A7A91" w:rsidRDefault="004364AE" w:rsidP="00CE58B7">
      <w:pPr>
        <w:keepLines/>
        <w:rPr>
          <w:rFonts w:ascii="Arial" w:hAnsi="Arial" w:cs="Arial"/>
        </w:rPr>
      </w:pPr>
      <w:r w:rsidRPr="00BD459D">
        <w:rPr>
          <w:rFonts w:ascii="Arial" w:hAnsi="Arial" w:cs="Arial"/>
        </w:rPr>
        <w:t xml:space="preserve">Further details on the settlement will be sent to all local authorities and published </w:t>
      </w:r>
      <w:r w:rsidR="00713758" w:rsidRPr="00BD459D">
        <w:rPr>
          <w:rFonts w:ascii="Arial" w:hAnsi="Arial" w:cs="Arial"/>
        </w:rPr>
        <w:t>on the Welsh Government</w:t>
      </w:r>
      <w:r w:rsidR="00477C07">
        <w:rPr>
          <w:rFonts w:ascii="Arial" w:hAnsi="Arial" w:cs="Arial"/>
        </w:rPr>
        <w:t>’s</w:t>
      </w:r>
      <w:r w:rsidR="00713758" w:rsidRPr="00BD459D">
        <w:rPr>
          <w:rFonts w:ascii="Arial" w:hAnsi="Arial" w:cs="Arial"/>
        </w:rPr>
        <w:t xml:space="preserve"> website:</w:t>
      </w:r>
    </w:p>
    <w:p w:rsidR="001A7A91" w:rsidRPr="00BD459D" w:rsidRDefault="001A7A91" w:rsidP="00CE58B7">
      <w:pPr>
        <w:keepLines/>
        <w:rPr>
          <w:rFonts w:ascii="Arial" w:hAnsi="Arial" w:cs="Arial"/>
        </w:rPr>
      </w:pPr>
    </w:p>
    <w:p w:rsidR="00713758" w:rsidRPr="00BD459D" w:rsidRDefault="0037423F" w:rsidP="00CE58B7">
      <w:pPr>
        <w:keepLines/>
        <w:rPr>
          <w:rFonts w:ascii="Arial" w:hAnsi="Arial" w:cs="Arial"/>
          <w:color w:val="0000FF"/>
        </w:rPr>
      </w:pPr>
      <w:hyperlink r:id="rId9" w:history="1">
        <w:r w:rsidRPr="00F50F63">
          <w:rPr>
            <w:rStyle w:val="Hyperlink"/>
            <w:rFonts w:ascii="Arial" w:hAnsi="Arial" w:cs="Arial"/>
          </w:rPr>
          <w:t>https://gov.wales/topics/localgovernment/finandfunding/settlement/lg-settlement-2019-20/?lang=en</w:t>
        </w:r>
      </w:hyperlink>
      <w:r>
        <w:rPr>
          <w:rFonts w:ascii="Arial" w:hAnsi="Arial" w:cs="Arial"/>
          <w:color w:val="0000FF"/>
        </w:rPr>
        <w:t xml:space="preserve"> </w:t>
      </w:r>
      <w:r w:rsidR="001A7A91">
        <w:rPr>
          <w:rFonts w:ascii="Arial" w:hAnsi="Arial" w:cs="Arial"/>
          <w:color w:val="0000FF"/>
        </w:rPr>
        <w:t xml:space="preserve"> </w:t>
      </w:r>
    </w:p>
    <w:p w:rsidR="004364AE" w:rsidRPr="00A56689" w:rsidRDefault="004364AE" w:rsidP="00CE58B7">
      <w:pPr>
        <w:keepLines/>
        <w:rPr>
          <w:rFonts w:ascii="Arial" w:hAnsi="Arial" w:cs="Arial"/>
          <w:color w:val="FF0000"/>
        </w:rPr>
      </w:pPr>
    </w:p>
    <w:p w:rsidR="004364AE" w:rsidRPr="00BD459D" w:rsidRDefault="004364AE" w:rsidP="00CE58B7">
      <w:pPr>
        <w:keepLines/>
        <w:rPr>
          <w:rFonts w:ascii="Arial" w:hAnsi="Arial" w:cs="Arial"/>
        </w:rPr>
      </w:pPr>
      <w:r w:rsidRPr="00BD459D">
        <w:rPr>
          <w:rFonts w:ascii="Arial" w:hAnsi="Arial" w:cs="Arial"/>
        </w:rPr>
        <w:t xml:space="preserve">I </w:t>
      </w:r>
      <w:r w:rsidR="00124AF1">
        <w:rPr>
          <w:rFonts w:ascii="Arial" w:hAnsi="Arial" w:cs="Arial"/>
        </w:rPr>
        <w:t xml:space="preserve">know that </w:t>
      </w:r>
      <w:r w:rsidR="00477C07">
        <w:rPr>
          <w:rFonts w:ascii="Arial" w:hAnsi="Arial" w:cs="Arial"/>
        </w:rPr>
        <w:t xml:space="preserve">authorities </w:t>
      </w:r>
      <w:r w:rsidR="00124AF1">
        <w:rPr>
          <w:rFonts w:ascii="Arial" w:hAnsi="Arial" w:cs="Arial"/>
        </w:rPr>
        <w:t>will need to make choices in set</w:t>
      </w:r>
      <w:r w:rsidR="001379D1">
        <w:rPr>
          <w:rFonts w:ascii="Arial" w:hAnsi="Arial" w:cs="Arial"/>
        </w:rPr>
        <w:t>ting their budgets</w:t>
      </w:r>
      <w:r w:rsidR="001A7A91">
        <w:rPr>
          <w:rFonts w:ascii="Arial" w:hAnsi="Arial" w:cs="Arial"/>
        </w:rPr>
        <w:t xml:space="preserve">.  </w:t>
      </w:r>
      <w:r w:rsidR="001379D1">
        <w:rPr>
          <w:rFonts w:ascii="Arial" w:hAnsi="Arial" w:cs="Arial"/>
        </w:rPr>
        <w:t xml:space="preserve">They will </w:t>
      </w:r>
      <w:r w:rsidR="00124AF1">
        <w:rPr>
          <w:rFonts w:ascii="Arial" w:hAnsi="Arial" w:cs="Arial"/>
        </w:rPr>
        <w:t xml:space="preserve">need </w:t>
      </w:r>
      <w:r w:rsidRPr="00BD459D">
        <w:rPr>
          <w:rFonts w:ascii="Arial" w:hAnsi="Arial" w:cs="Arial"/>
        </w:rPr>
        <w:t>to engage meaningfully with their local communities as they consider their budget priorities</w:t>
      </w:r>
      <w:r w:rsidR="001A7A91">
        <w:rPr>
          <w:rFonts w:ascii="Arial" w:hAnsi="Arial" w:cs="Arial"/>
        </w:rPr>
        <w:t xml:space="preserve">.  </w:t>
      </w:r>
      <w:r w:rsidRPr="00BD459D">
        <w:rPr>
          <w:rFonts w:ascii="Arial" w:hAnsi="Arial" w:cs="Arial"/>
        </w:rPr>
        <w:t xml:space="preserve">The setting of </w:t>
      </w:r>
      <w:r w:rsidR="00477C07">
        <w:rPr>
          <w:rFonts w:ascii="Arial" w:hAnsi="Arial" w:cs="Arial"/>
        </w:rPr>
        <w:t xml:space="preserve">budgets, and in turn </w:t>
      </w:r>
      <w:r w:rsidRPr="00BD459D">
        <w:rPr>
          <w:rFonts w:ascii="Arial" w:hAnsi="Arial" w:cs="Arial"/>
        </w:rPr>
        <w:t>council tax</w:t>
      </w:r>
      <w:r w:rsidR="00477C07">
        <w:rPr>
          <w:rFonts w:ascii="Arial" w:hAnsi="Arial" w:cs="Arial"/>
        </w:rPr>
        <w:t>,</w:t>
      </w:r>
      <w:r w:rsidRPr="00BD459D">
        <w:rPr>
          <w:rFonts w:ascii="Arial" w:hAnsi="Arial" w:cs="Arial"/>
        </w:rPr>
        <w:t xml:space="preserve"> is the responsibility of each local authority</w:t>
      </w:r>
      <w:r w:rsidR="00124AF1">
        <w:rPr>
          <w:rFonts w:ascii="Arial" w:hAnsi="Arial" w:cs="Arial"/>
        </w:rPr>
        <w:t xml:space="preserve"> and </w:t>
      </w:r>
      <w:r w:rsidR="00477C07">
        <w:rPr>
          <w:rFonts w:ascii="Arial" w:hAnsi="Arial" w:cs="Arial"/>
        </w:rPr>
        <w:t xml:space="preserve">authorities </w:t>
      </w:r>
      <w:r w:rsidR="00124AF1">
        <w:rPr>
          <w:rFonts w:ascii="Arial" w:hAnsi="Arial" w:cs="Arial"/>
        </w:rPr>
        <w:t xml:space="preserve">will need to </w:t>
      </w:r>
      <w:r w:rsidRPr="00BD459D">
        <w:rPr>
          <w:rFonts w:ascii="Arial" w:hAnsi="Arial" w:cs="Arial"/>
        </w:rPr>
        <w:t>take account of the full range of sources of funding available to them, as well as the pressures they face, in setting</w:t>
      </w:r>
      <w:r w:rsidR="00477C07">
        <w:rPr>
          <w:rFonts w:ascii="Arial" w:hAnsi="Arial" w:cs="Arial"/>
        </w:rPr>
        <w:t xml:space="preserve"> their budgets for the coming year</w:t>
      </w:r>
      <w:r w:rsidRPr="00BD459D">
        <w:rPr>
          <w:rFonts w:ascii="Arial" w:hAnsi="Arial" w:cs="Arial"/>
        </w:rPr>
        <w:t>.</w:t>
      </w:r>
    </w:p>
    <w:p w:rsidR="004364AE" w:rsidRPr="00A56689" w:rsidRDefault="004364AE" w:rsidP="00CE58B7">
      <w:pPr>
        <w:keepLines/>
        <w:rPr>
          <w:rFonts w:ascii="Arial" w:hAnsi="Arial" w:cs="Arial"/>
          <w:color w:val="FF0000"/>
        </w:rPr>
      </w:pPr>
    </w:p>
    <w:p w:rsidR="004364AE" w:rsidRPr="00BD459D" w:rsidRDefault="004364AE" w:rsidP="00CE58B7">
      <w:pPr>
        <w:keepLines/>
        <w:rPr>
          <w:rFonts w:ascii="Arial" w:hAnsi="Arial" w:cs="Arial"/>
        </w:rPr>
      </w:pPr>
      <w:r w:rsidRPr="00BD459D">
        <w:rPr>
          <w:rFonts w:ascii="Arial" w:hAnsi="Arial" w:cs="Arial"/>
        </w:rPr>
        <w:t>With regard to capital funding, this settlement maintains the general capital funding at £143 million for the next t</w:t>
      </w:r>
      <w:r w:rsidR="00E05FD9">
        <w:rPr>
          <w:rFonts w:ascii="Arial" w:hAnsi="Arial" w:cs="Arial"/>
        </w:rPr>
        <w:t>wo</w:t>
      </w:r>
      <w:r w:rsidRPr="00BD459D">
        <w:rPr>
          <w:rFonts w:ascii="Arial" w:hAnsi="Arial" w:cs="Arial"/>
        </w:rPr>
        <w:t xml:space="preserve"> years</w:t>
      </w:r>
      <w:r w:rsidR="001A7A91">
        <w:rPr>
          <w:rFonts w:ascii="Arial" w:hAnsi="Arial" w:cs="Arial"/>
        </w:rPr>
        <w:t xml:space="preserve">.  </w:t>
      </w:r>
      <w:r w:rsidRPr="00BD459D">
        <w:rPr>
          <w:rFonts w:ascii="Arial" w:hAnsi="Arial" w:cs="Arial"/>
        </w:rPr>
        <w:t>This provides clarity and certainty on future funding for authorities’ own capital spending priorities.</w:t>
      </w:r>
    </w:p>
    <w:p w:rsidR="00DE256B" w:rsidRPr="00BD459D" w:rsidRDefault="00DE256B" w:rsidP="00CE58B7">
      <w:pPr>
        <w:keepLines/>
        <w:rPr>
          <w:rFonts w:ascii="Arial" w:hAnsi="Arial" w:cs="Arial"/>
        </w:rPr>
      </w:pPr>
    </w:p>
    <w:p w:rsidR="00DE256B" w:rsidRPr="00BD459D" w:rsidRDefault="00DE256B" w:rsidP="00CE58B7">
      <w:pPr>
        <w:keepLines/>
        <w:rPr>
          <w:rFonts w:ascii="Arial" w:hAnsi="Arial" w:cs="Arial"/>
        </w:rPr>
      </w:pPr>
      <w:r w:rsidRPr="00BD459D">
        <w:rPr>
          <w:rFonts w:ascii="Arial" w:hAnsi="Arial" w:cs="Arial"/>
        </w:rPr>
        <w:t>In addition</w:t>
      </w:r>
      <w:r w:rsidR="00477C07">
        <w:rPr>
          <w:rFonts w:ascii="Arial" w:hAnsi="Arial" w:cs="Arial"/>
        </w:rPr>
        <w:t xml:space="preserve">, </w:t>
      </w:r>
      <w:r w:rsidRPr="00BD459D">
        <w:rPr>
          <w:rFonts w:ascii="Arial" w:hAnsi="Arial" w:cs="Arial"/>
        </w:rPr>
        <w:t xml:space="preserve">we are providing £60 million over three years for a local authority road refurbishment scheme to </w:t>
      </w:r>
      <w:r w:rsidR="00174D76">
        <w:rPr>
          <w:rFonts w:ascii="Arial" w:hAnsi="Arial" w:cs="Arial"/>
        </w:rPr>
        <w:t xml:space="preserve">help </w:t>
      </w:r>
      <w:r w:rsidRPr="00BD459D">
        <w:rPr>
          <w:rFonts w:ascii="Arial" w:hAnsi="Arial" w:cs="Arial"/>
        </w:rPr>
        <w:t>repair the damage caused by a series of hard winters and this summer’s heatwave.</w:t>
      </w:r>
    </w:p>
    <w:p w:rsidR="00DE256B" w:rsidRDefault="00DE256B" w:rsidP="00CE58B7">
      <w:pPr>
        <w:keepLines/>
        <w:rPr>
          <w:rFonts w:ascii="Arial" w:hAnsi="Arial" w:cs="Arial"/>
          <w:color w:val="FF0000"/>
        </w:rPr>
      </w:pPr>
    </w:p>
    <w:p w:rsidR="002267B5" w:rsidRPr="006421D8" w:rsidRDefault="004364AE" w:rsidP="00BD459D">
      <w:pPr>
        <w:keepLines/>
        <w:rPr>
          <w:rFonts w:ascii="Arial" w:hAnsi="Arial" w:cs="Arial"/>
        </w:rPr>
      </w:pPr>
      <w:r w:rsidRPr="00580ECC">
        <w:rPr>
          <w:rFonts w:ascii="Arial" w:hAnsi="Arial" w:cs="Arial"/>
        </w:rPr>
        <w:t>This announcement commences the formal six-week consultation on the provisional local governmen</w:t>
      </w:r>
      <w:r>
        <w:rPr>
          <w:rFonts w:ascii="Arial" w:hAnsi="Arial" w:cs="Arial"/>
        </w:rPr>
        <w:t>t settlement</w:t>
      </w:r>
      <w:r w:rsidR="001A7A91">
        <w:rPr>
          <w:rFonts w:ascii="Arial" w:hAnsi="Arial" w:cs="Arial"/>
        </w:rPr>
        <w:t xml:space="preserve">.  </w:t>
      </w:r>
      <w:r>
        <w:rPr>
          <w:rFonts w:ascii="Arial" w:hAnsi="Arial" w:cs="Arial"/>
        </w:rPr>
        <w:t>This will end on 2</w:t>
      </w:r>
      <w:r w:rsidR="00A56689">
        <w:rPr>
          <w:rFonts w:ascii="Arial" w:hAnsi="Arial" w:cs="Arial"/>
        </w:rPr>
        <w:t>0</w:t>
      </w:r>
      <w:r w:rsidRPr="00580ECC">
        <w:rPr>
          <w:rFonts w:ascii="Arial" w:hAnsi="Arial" w:cs="Arial"/>
        </w:rPr>
        <w:t xml:space="preserve"> November</w:t>
      </w:r>
      <w:r w:rsidR="00A56689">
        <w:rPr>
          <w:rFonts w:ascii="Arial" w:hAnsi="Arial" w:cs="Arial"/>
        </w:rPr>
        <w:t xml:space="preserve"> 2018</w:t>
      </w:r>
      <w:r w:rsidRPr="00580ECC">
        <w:rPr>
          <w:rFonts w:ascii="Arial" w:hAnsi="Arial" w:cs="Arial"/>
        </w:rPr>
        <w:t>.</w:t>
      </w:r>
    </w:p>
    <w:p w:rsidR="00A76755" w:rsidRPr="00A52A00" w:rsidRDefault="00A76755" w:rsidP="00BD459D">
      <w:pPr>
        <w:keepLines/>
        <w:spacing w:line="360" w:lineRule="auto"/>
        <w:rPr>
          <w:rFonts w:ascii="Arial" w:hAnsi="Arial" w:cs="Arial"/>
          <w:b/>
          <w:color w:val="FF0000"/>
          <w:sz w:val="28"/>
          <w:szCs w:val="28"/>
          <w:lang w:val="cy-GB"/>
        </w:rPr>
      </w:pPr>
    </w:p>
    <w:p w:rsidR="00D50C7A" w:rsidRPr="00A52A00" w:rsidRDefault="00D50C7A" w:rsidP="00BD459D">
      <w:pPr>
        <w:keepLines/>
        <w:spacing w:line="360" w:lineRule="auto"/>
        <w:rPr>
          <w:rFonts w:ascii="Arial" w:hAnsi="Arial"/>
          <w:color w:val="FF0000"/>
          <w:lang w:val="cy-GB"/>
        </w:rPr>
        <w:sectPr w:rsidR="00D50C7A" w:rsidRPr="00A52A00" w:rsidSect="00FA5EE8">
          <w:footerReference w:type="default" r:id="rId10"/>
          <w:pgSz w:w="11906" w:h="16838" w:code="9"/>
          <w:pgMar w:top="1418" w:right="1418" w:bottom="1134" w:left="1418" w:header="284" w:footer="567" w:gutter="0"/>
          <w:cols w:space="708"/>
          <w:docGrid w:linePitch="360"/>
        </w:sectPr>
      </w:pPr>
    </w:p>
    <w:p w:rsidR="00D264AC" w:rsidRDefault="00477C07" w:rsidP="00BD459D">
      <w:pPr>
        <w:keepLines/>
        <w:ind w:left="1134" w:hanging="1134"/>
        <w:rPr>
          <w:rFonts w:ascii="Arial" w:hAnsi="Arial" w:cs="Arial"/>
          <w:b/>
        </w:rPr>
      </w:pPr>
      <w:r>
        <w:rPr>
          <w:rFonts w:ascii="Arial" w:hAnsi="Arial" w:cs="Arial"/>
          <w:b/>
        </w:rPr>
        <w:lastRenderedPageBreak/>
        <w:t>SUMMARY TABLE</w:t>
      </w:r>
      <w:r w:rsidR="00C50DCB" w:rsidRPr="004C686D">
        <w:rPr>
          <w:rFonts w:ascii="Arial" w:hAnsi="Arial" w:cs="Arial"/>
          <w:b/>
        </w:rPr>
        <w:tab/>
      </w:r>
    </w:p>
    <w:p w:rsidR="001B212B" w:rsidRPr="00291622" w:rsidRDefault="001B212B" w:rsidP="001B212B">
      <w:pPr>
        <w:rPr>
          <w:rFonts w:cs="Arial"/>
          <w:b/>
        </w:rPr>
      </w:pPr>
      <w:r w:rsidRPr="001B212B">
        <w:rPr>
          <w:rFonts w:ascii="Arial" w:hAnsi="Arial" w:cs="Arial"/>
          <w:b/>
        </w:rPr>
        <w:t xml:space="preserve">2019-20 </w:t>
      </w:r>
      <w:r w:rsidR="00477C07" w:rsidRPr="001B212B">
        <w:rPr>
          <w:rFonts w:ascii="Arial" w:hAnsi="Arial" w:cs="Arial"/>
          <w:b/>
        </w:rPr>
        <w:t xml:space="preserve">Provisional Settlement </w:t>
      </w:r>
      <w:r w:rsidRPr="001B212B">
        <w:rPr>
          <w:rFonts w:ascii="Arial" w:hAnsi="Arial" w:cs="Arial"/>
          <w:b/>
        </w:rPr>
        <w:t>– comparison of the 2018-19 AEF including top-up funding (adjusted for transfers) and the 2019</w:t>
      </w:r>
      <w:r w:rsidR="00477C07">
        <w:rPr>
          <w:rFonts w:ascii="Arial" w:hAnsi="Arial" w:cs="Arial"/>
          <w:b/>
        </w:rPr>
        <w:noBreakHyphen/>
      </w:r>
      <w:r w:rsidRPr="001B212B">
        <w:rPr>
          <w:rFonts w:ascii="Arial" w:hAnsi="Arial" w:cs="Arial"/>
          <w:b/>
        </w:rPr>
        <w:t>20 provisional AEF and top-up funding, and distribution of the 2019-20 Council Tax Reduction Schemes funding (distributed within AEF)</w:t>
      </w:r>
      <w:r w:rsidRPr="001B212B">
        <w:rPr>
          <w:rFonts w:cs="Arial"/>
          <w:b/>
        </w:rPr>
        <w:t xml:space="preserve"> </w:t>
      </w:r>
    </w:p>
    <w:tbl>
      <w:tblPr>
        <w:tblW w:w="14489" w:type="dxa"/>
        <w:tblLayout w:type="fixed"/>
        <w:tblCellMar>
          <w:left w:w="30" w:type="dxa"/>
          <w:right w:w="30" w:type="dxa"/>
        </w:tblCellMar>
        <w:tblLook w:val="0000" w:firstRow="0" w:lastRow="0" w:firstColumn="0" w:lastColumn="0" w:noHBand="0" w:noVBand="0"/>
      </w:tblPr>
      <w:tblGrid>
        <w:gridCol w:w="2455"/>
        <w:gridCol w:w="286"/>
        <w:gridCol w:w="1427"/>
        <w:gridCol w:w="287"/>
        <w:gridCol w:w="1067"/>
        <w:gridCol w:w="287"/>
        <w:gridCol w:w="1570"/>
        <w:gridCol w:w="286"/>
        <w:gridCol w:w="857"/>
        <w:gridCol w:w="286"/>
        <w:gridCol w:w="1569"/>
        <w:gridCol w:w="287"/>
        <w:gridCol w:w="1337"/>
        <w:gridCol w:w="281"/>
        <w:gridCol w:w="572"/>
        <w:gridCol w:w="287"/>
        <w:gridCol w:w="1348"/>
      </w:tblGrid>
      <w:tr w:rsidR="001B212B" w:rsidRPr="001B212B" w:rsidTr="009A1FD2">
        <w:trPr>
          <w:trHeight w:val="259"/>
        </w:trPr>
        <w:tc>
          <w:tcPr>
            <w:tcW w:w="2455" w:type="dxa"/>
            <w:tcBorders>
              <w:bottom w:val="single" w:sz="4" w:space="0" w:color="auto"/>
            </w:tcBorders>
            <w:shd w:val="solid" w:color="FFFFFF" w:fill="auto"/>
          </w:tcPr>
          <w:p w:rsidR="001B212B" w:rsidRPr="00291622" w:rsidRDefault="001B212B" w:rsidP="009A1FD2">
            <w:pPr>
              <w:autoSpaceDE w:val="0"/>
              <w:autoSpaceDN w:val="0"/>
              <w:adjustRightInd w:val="0"/>
              <w:jc w:val="right"/>
              <w:rPr>
                <w:rFonts w:cs="Arial"/>
                <w:sz w:val="20"/>
                <w:szCs w:val="20"/>
              </w:rPr>
            </w:pPr>
          </w:p>
        </w:tc>
        <w:tc>
          <w:tcPr>
            <w:tcW w:w="286" w:type="dxa"/>
            <w:tcBorders>
              <w:bottom w:val="single" w:sz="4" w:space="0" w:color="auto"/>
            </w:tcBorders>
            <w:shd w:val="solid" w:color="FFFFFF" w:fill="auto"/>
          </w:tcPr>
          <w:p w:rsidR="001B212B" w:rsidRPr="00291622" w:rsidRDefault="001B212B" w:rsidP="009A1FD2">
            <w:pPr>
              <w:autoSpaceDE w:val="0"/>
              <w:autoSpaceDN w:val="0"/>
              <w:adjustRightInd w:val="0"/>
              <w:jc w:val="right"/>
              <w:rPr>
                <w:rFonts w:cs="Arial"/>
                <w:sz w:val="20"/>
                <w:szCs w:val="20"/>
              </w:rPr>
            </w:pPr>
          </w:p>
        </w:tc>
        <w:tc>
          <w:tcPr>
            <w:tcW w:w="1427" w:type="dxa"/>
            <w:tcBorders>
              <w:bottom w:val="single" w:sz="4" w:space="0" w:color="auto"/>
            </w:tcBorders>
            <w:shd w:val="solid" w:color="FFFFFF" w:fill="auto"/>
          </w:tcPr>
          <w:p w:rsidR="001B212B" w:rsidRPr="00291622" w:rsidRDefault="001B212B" w:rsidP="009A1FD2">
            <w:pPr>
              <w:autoSpaceDE w:val="0"/>
              <w:autoSpaceDN w:val="0"/>
              <w:adjustRightInd w:val="0"/>
              <w:jc w:val="right"/>
              <w:rPr>
                <w:rFonts w:cs="Arial"/>
                <w:sz w:val="20"/>
                <w:szCs w:val="20"/>
              </w:rPr>
            </w:pPr>
          </w:p>
        </w:tc>
        <w:tc>
          <w:tcPr>
            <w:tcW w:w="287" w:type="dxa"/>
            <w:tcBorders>
              <w:bottom w:val="single" w:sz="4" w:space="0" w:color="auto"/>
            </w:tcBorders>
            <w:shd w:val="solid" w:color="FFFFFF" w:fill="auto"/>
          </w:tcPr>
          <w:p w:rsidR="001B212B" w:rsidRPr="00291622" w:rsidRDefault="001B212B" w:rsidP="009A1FD2">
            <w:pPr>
              <w:autoSpaceDE w:val="0"/>
              <w:autoSpaceDN w:val="0"/>
              <w:adjustRightInd w:val="0"/>
              <w:jc w:val="right"/>
              <w:rPr>
                <w:rFonts w:cs="Arial"/>
                <w:sz w:val="20"/>
                <w:szCs w:val="20"/>
              </w:rPr>
            </w:pPr>
          </w:p>
        </w:tc>
        <w:tc>
          <w:tcPr>
            <w:tcW w:w="1067" w:type="dxa"/>
            <w:tcBorders>
              <w:bottom w:val="single" w:sz="4" w:space="0" w:color="auto"/>
            </w:tcBorders>
            <w:shd w:val="solid" w:color="FFFFFF" w:fill="auto"/>
          </w:tcPr>
          <w:p w:rsidR="001B212B" w:rsidRPr="00291622" w:rsidRDefault="001B212B" w:rsidP="009A1FD2">
            <w:pPr>
              <w:autoSpaceDE w:val="0"/>
              <w:autoSpaceDN w:val="0"/>
              <w:adjustRightInd w:val="0"/>
              <w:jc w:val="right"/>
              <w:rPr>
                <w:rFonts w:cs="Arial"/>
                <w:sz w:val="20"/>
                <w:szCs w:val="20"/>
              </w:rPr>
            </w:pPr>
          </w:p>
        </w:tc>
        <w:tc>
          <w:tcPr>
            <w:tcW w:w="287" w:type="dxa"/>
            <w:tcBorders>
              <w:bottom w:val="single" w:sz="4" w:space="0" w:color="auto"/>
            </w:tcBorders>
            <w:shd w:val="solid" w:color="FFFFFF" w:fill="auto"/>
          </w:tcPr>
          <w:p w:rsidR="001B212B" w:rsidRPr="00291622" w:rsidRDefault="001B212B" w:rsidP="009A1FD2">
            <w:pPr>
              <w:autoSpaceDE w:val="0"/>
              <w:autoSpaceDN w:val="0"/>
              <w:adjustRightInd w:val="0"/>
              <w:jc w:val="right"/>
              <w:rPr>
                <w:rFonts w:cs="Arial"/>
                <w:sz w:val="20"/>
                <w:szCs w:val="20"/>
              </w:rPr>
            </w:pPr>
          </w:p>
        </w:tc>
        <w:tc>
          <w:tcPr>
            <w:tcW w:w="1570" w:type="dxa"/>
            <w:tcBorders>
              <w:bottom w:val="single" w:sz="4" w:space="0" w:color="auto"/>
            </w:tcBorders>
            <w:shd w:val="solid" w:color="FFFFFF" w:fill="auto"/>
          </w:tcPr>
          <w:p w:rsidR="001B212B" w:rsidRPr="00291622" w:rsidRDefault="001B212B" w:rsidP="009A1FD2">
            <w:pPr>
              <w:autoSpaceDE w:val="0"/>
              <w:autoSpaceDN w:val="0"/>
              <w:adjustRightInd w:val="0"/>
              <w:jc w:val="right"/>
              <w:rPr>
                <w:rFonts w:cs="Arial"/>
                <w:sz w:val="20"/>
                <w:szCs w:val="20"/>
              </w:rPr>
            </w:pPr>
          </w:p>
        </w:tc>
        <w:tc>
          <w:tcPr>
            <w:tcW w:w="286" w:type="dxa"/>
            <w:tcBorders>
              <w:bottom w:val="single" w:sz="4" w:space="0" w:color="auto"/>
            </w:tcBorders>
            <w:shd w:val="solid" w:color="FFFFFF" w:fill="auto"/>
          </w:tcPr>
          <w:p w:rsidR="001B212B" w:rsidRPr="00291622" w:rsidRDefault="001B212B" w:rsidP="009A1FD2">
            <w:pPr>
              <w:autoSpaceDE w:val="0"/>
              <w:autoSpaceDN w:val="0"/>
              <w:adjustRightInd w:val="0"/>
              <w:jc w:val="right"/>
              <w:rPr>
                <w:rFonts w:cs="Arial"/>
                <w:sz w:val="20"/>
                <w:szCs w:val="20"/>
              </w:rPr>
            </w:pPr>
          </w:p>
        </w:tc>
        <w:tc>
          <w:tcPr>
            <w:tcW w:w="857" w:type="dxa"/>
            <w:tcBorders>
              <w:bottom w:val="single" w:sz="4" w:space="0" w:color="auto"/>
            </w:tcBorders>
            <w:shd w:val="solid" w:color="FFFFFF" w:fill="auto"/>
          </w:tcPr>
          <w:p w:rsidR="001B212B" w:rsidRPr="00291622" w:rsidRDefault="001B212B" w:rsidP="009A1FD2">
            <w:pPr>
              <w:autoSpaceDE w:val="0"/>
              <w:autoSpaceDN w:val="0"/>
              <w:adjustRightInd w:val="0"/>
              <w:jc w:val="right"/>
              <w:rPr>
                <w:rFonts w:cs="Arial"/>
                <w:sz w:val="20"/>
                <w:szCs w:val="20"/>
              </w:rPr>
            </w:pPr>
          </w:p>
        </w:tc>
        <w:tc>
          <w:tcPr>
            <w:tcW w:w="286" w:type="dxa"/>
            <w:tcBorders>
              <w:bottom w:val="single" w:sz="4" w:space="0" w:color="auto"/>
            </w:tcBorders>
            <w:shd w:val="solid" w:color="FFFFFF" w:fill="auto"/>
          </w:tcPr>
          <w:p w:rsidR="001B212B" w:rsidRPr="00291622" w:rsidRDefault="001B212B" w:rsidP="009A1FD2">
            <w:pPr>
              <w:autoSpaceDE w:val="0"/>
              <w:autoSpaceDN w:val="0"/>
              <w:adjustRightInd w:val="0"/>
              <w:jc w:val="right"/>
              <w:rPr>
                <w:rFonts w:cs="Arial"/>
                <w:sz w:val="20"/>
                <w:szCs w:val="20"/>
              </w:rPr>
            </w:pPr>
          </w:p>
        </w:tc>
        <w:tc>
          <w:tcPr>
            <w:tcW w:w="1569" w:type="dxa"/>
            <w:tcBorders>
              <w:bottom w:val="single" w:sz="4" w:space="0" w:color="auto"/>
            </w:tcBorders>
            <w:shd w:val="solid" w:color="FFFFFF" w:fill="auto"/>
          </w:tcPr>
          <w:p w:rsidR="001B212B" w:rsidRPr="00291622" w:rsidRDefault="001B212B" w:rsidP="009A1FD2">
            <w:pPr>
              <w:autoSpaceDE w:val="0"/>
              <w:autoSpaceDN w:val="0"/>
              <w:adjustRightInd w:val="0"/>
              <w:jc w:val="right"/>
              <w:rPr>
                <w:rFonts w:cs="Arial"/>
                <w:sz w:val="20"/>
                <w:szCs w:val="20"/>
              </w:rPr>
            </w:pPr>
          </w:p>
        </w:tc>
        <w:tc>
          <w:tcPr>
            <w:tcW w:w="287" w:type="dxa"/>
            <w:tcBorders>
              <w:bottom w:val="single" w:sz="4" w:space="0" w:color="auto"/>
            </w:tcBorders>
            <w:shd w:val="solid" w:color="FFFFFF" w:fill="auto"/>
          </w:tcPr>
          <w:p w:rsidR="001B212B" w:rsidRPr="00291622" w:rsidRDefault="001B212B" w:rsidP="009A1FD2">
            <w:pPr>
              <w:autoSpaceDE w:val="0"/>
              <w:autoSpaceDN w:val="0"/>
              <w:adjustRightInd w:val="0"/>
              <w:jc w:val="right"/>
              <w:rPr>
                <w:rFonts w:cs="Arial"/>
                <w:sz w:val="20"/>
                <w:szCs w:val="20"/>
              </w:rPr>
            </w:pPr>
          </w:p>
        </w:tc>
        <w:tc>
          <w:tcPr>
            <w:tcW w:w="1337" w:type="dxa"/>
            <w:tcBorders>
              <w:bottom w:val="single" w:sz="4" w:space="0" w:color="auto"/>
            </w:tcBorders>
            <w:shd w:val="solid" w:color="FFFFFF" w:fill="auto"/>
          </w:tcPr>
          <w:p w:rsidR="001B212B" w:rsidRPr="00291622" w:rsidRDefault="001B212B" w:rsidP="009A1FD2">
            <w:pPr>
              <w:autoSpaceDE w:val="0"/>
              <w:autoSpaceDN w:val="0"/>
              <w:adjustRightInd w:val="0"/>
              <w:jc w:val="right"/>
              <w:rPr>
                <w:rFonts w:cs="Arial"/>
                <w:sz w:val="20"/>
                <w:szCs w:val="20"/>
              </w:rPr>
            </w:pPr>
          </w:p>
        </w:tc>
        <w:tc>
          <w:tcPr>
            <w:tcW w:w="281" w:type="dxa"/>
            <w:tcBorders>
              <w:bottom w:val="single" w:sz="4" w:space="0" w:color="auto"/>
            </w:tcBorders>
            <w:shd w:val="solid" w:color="FFFFFF" w:fill="auto"/>
          </w:tcPr>
          <w:p w:rsidR="001B212B" w:rsidRPr="00291622" w:rsidRDefault="001B212B" w:rsidP="009A1FD2">
            <w:pPr>
              <w:autoSpaceDE w:val="0"/>
              <w:autoSpaceDN w:val="0"/>
              <w:adjustRightInd w:val="0"/>
              <w:jc w:val="right"/>
              <w:rPr>
                <w:rFonts w:cs="Arial"/>
                <w:b/>
                <w:bCs/>
                <w:i/>
                <w:iCs/>
                <w:sz w:val="20"/>
                <w:szCs w:val="20"/>
              </w:rPr>
            </w:pPr>
          </w:p>
        </w:tc>
        <w:tc>
          <w:tcPr>
            <w:tcW w:w="572" w:type="dxa"/>
            <w:tcBorders>
              <w:bottom w:val="single" w:sz="4" w:space="0" w:color="auto"/>
            </w:tcBorders>
            <w:shd w:val="solid" w:color="FFFFFF" w:fill="auto"/>
          </w:tcPr>
          <w:p w:rsidR="001B212B" w:rsidRPr="00291622" w:rsidRDefault="001B212B" w:rsidP="009A1FD2">
            <w:pPr>
              <w:autoSpaceDE w:val="0"/>
              <w:autoSpaceDN w:val="0"/>
              <w:adjustRightInd w:val="0"/>
              <w:jc w:val="right"/>
              <w:rPr>
                <w:rFonts w:cs="Arial"/>
                <w:b/>
                <w:bCs/>
                <w:i/>
                <w:iCs/>
                <w:sz w:val="20"/>
                <w:szCs w:val="20"/>
              </w:rPr>
            </w:pPr>
          </w:p>
        </w:tc>
        <w:tc>
          <w:tcPr>
            <w:tcW w:w="287" w:type="dxa"/>
            <w:tcBorders>
              <w:bottom w:val="single" w:sz="4" w:space="0" w:color="auto"/>
            </w:tcBorders>
            <w:shd w:val="solid" w:color="FFFFFF" w:fill="auto"/>
          </w:tcPr>
          <w:p w:rsidR="001B212B" w:rsidRPr="00291622" w:rsidRDefault="001B212B" w:rsidP="009A1FD2">
            <w:pPr>
              <w:autoSpaceDE w:val="0"/>
              <w:autoSpaceDN w:val="0"/>
              <w:adjustRightInd w:val="0"/>
              <w:jc w:val="right"/>
              <w:rPr>
                <w:rFonts w:cs="Arial"/>
                <w:b/>
                <w:bCs/>
                <w:i/>
                <w:iCs/>
                <w:sz w:val="20"/>
                <w:szCs w:val="20"/>
              </w:rPr>
            </w:pPr>
          </w:p>
        </w:tc>
        <w:tc>
          <w:tcPr>
            <w:tcW w:w="1348" w:type="dxa"/>
            <w:tcBorders>
              <w:bottom w:val="single" w:sz="4" w:space="0" w:color="auto"/>
            </w:tcBorders>
            <w:shd w:val="solid" w:color="FFFFFF" w:fill="auto"/>
          </w:tcPr>
          <w:p w:rsidR="001B212B" w:rsidRPr="001B212B" w:rsidRDefault="001B212B" w:rsidP="00477C07">
            <w:pPr>
              <w:autoSpaceDE w:val="0"/>
              <w:autoSpaceDN w:val="0"/>
              <w:adjustRightInd w:val="0"/>
              <w:jc w:val="right"/>
              <w:rPr>
                <w:rFonts w:ascii="Arial" w:hAnsi="Arial" w:cs="Arial"/>
                <w:b/>
                <w:bCs/>
                <w:i/>
                <w:iCs/>
                <w:sz w:val="20"/>
                <w:szCs w:val="20"/>
              </w:rPr>
            </w:pPr>
            <w:r w:rsidRPr="001B212B">
              <w:rPr>
                <w:rFonts w:ascii="Arial" w:hAnsi="Arial" w:cs="Arial"/>
                <w:b/>
                <w:bCs/>
                <w:i/>
                <w:iCs/>
                <w:sz w:val="20"/>
                <w:szCs w:val="20"/>
              </w:rPr>
              <w:t>£000</w:t>
            </w:r>
          </w:p>
        </w:tc>
      </w:tr>
      <w:tr w:rsidR="001B212B" w:rsidRPr="001B212B" w:rsidTr="009A1FD2">
        <w:trPr>
          <w:trHeight w:val="678"/>
        </w:trPr>
        <w:tc>
          <w:tcPr>
            <w:tcW w:w="2455" w:type="dxa"/>
            <w:tcBorders>
              <w:top w:val="single" w:sz="4" w:space="0" w:color="auto"/>
              <w:bottom w:val="single" w:sz="4" w:space="0" w:color="auto"/>
            </w:tcBorders>
            <w:shd w:val="solid" w:color="FFFFFF" w:fill="auto"/>
            <w:vAlign w:val="center"/>
          </w:tcPr>
          <w:p w:rsidR="001B212B" w:rsidRPr="001B212B" w:rsidRDefault="001B212B" w:rsidP="009A1FD2">
            <w:pPr>
              <w:autoSpaceDE w:val="0"/>
              <w:autoSpaceDN w:val="0"/>
              <w:adjustRightInd w:val="0"/>
              <w:rPr>
                <w:rFonts w:ascii="Arial" w:hAnsi="Arial" w:cs="Arial"/>
                <w:b/>
                <w:sz w:val="20"/>
                <w:szCs w:val="20"/>
              </w:rPr>
            </w:pPr>
          </w:p>
          <w:p w:rsidR="001B212B" w:rsidRPr="001B212B" w:rsidRDefault="001B212B" w:rsidP="009A1FD2">
            <w:pPr>
              <w:autoSpaceDE w:val="0"/>
              <w:autoSpaceDN w:val="0"/>
              <w:adjustRightInd w:val="0"/>
              <w:rPr>
                <w:rFonts w:ascii="Arial" w:hAnsi="Arial" w:cs="Arial"/>
                <w:b/>
                <w:sz w:val="20"/>
                <w:szCs w:val="20"/>
              </w:rPr>
            </w:pPr>
            <w:r w:rsidRPr="001B212B">
              <w:rPr>
                <w:rFonts w:ascii="Arial" w:hAnsi="Arial" w:cs="Arial"/>
                <w:b/>
                <w:sz w:val="20"/>
                <w:szCs w:val="20"/>
              </w:rPr>
              <w:t>Unitary authority</w:t>
            </w:r>
          </w:p>
        </w:tc>
        <w:tc>
          <w:tcPr>
            <w:tcW w:w="286" w:type="dxa"/>
            <w:tcBorders>
              <w:top w:val="single" w:sz="4" w:space="0" w:color="auto"/>
            </w:tcBorders>
            <w:shd w:val="solid" w:color="FFFFFF" w:fill="auto"/>
            <w:vAlign w:val="center"/>
          </w:tcPr>
          <w:p w:rsidR="001B212B" w:rsidRPr="001B212B" w:rsidRDefault="001B212B" w:rsidP="009A1FD2">
            <w:pPr>
              <w:autoSpaceDE w:val="0"/>
              <w:autoSpaceDN w:val="0"/>
              <w:adjustRightInd w:val="0"/>
              <w:jc w:val="center"/>
              <w:rPr>
                <w:rFonts w:ascii="Arial" w:hAnsi="Arial" w:cs="Arial"/>
                <w:b/>
                <w:sz w:val="20"/>
                <w:szCs w:val="20"/>
              </w:rPr>
            </w:pPr>
          </w:p>
        </w:tc>
        <w:tc>
          <w:tcPr>
            <w:tcW w:w="1427" w:type="dxa"/>
            <w:tcBorders>
              <w:top w:val="single" w:sz="4" w:space="0" w:color="auto"/>
              <w:bottom w:val="single" w:sz="4" w:space="0" w:color="auto"/>
            </w:tcBorders>
            <w:shd w:val="solid" w:color="FFFFFF" w:fill="auto"/>
            <w:vAlign w:val="center"/>
          </w:tcPr>
          <w:p w:rsidR="001B212B" w:rsidRPr="001B212B" w:rsidRDefault="001B212B" w:rsidP="009A1FD2">
            <w:pPr>
              <w:autoSpaceDE w:val="0"/>
              <w:autoSpaceDN w:val="0"/>
              <w:adjustRightInd w:val="0"/>
              <w:jc w:val="center"/>
              <w:rPr>
                <w:rFonts w:ascii="Arial" w:hAnsi="Arial" w:cs="Arial"/>
                <w:b/>
                <w:sz w:val="20"/>
                <w:szCs w:val="20"/>
              </w:rPr>
            </w:pPr>
            <w:r w:rsidRPr="001B212B">
              <w:rPr>
                <w:rFonts w:ascii="Arial" w:hAnsi="Arial" w:cs="Arial"/>
                <w:b/>
                <w:sz w:val="20"/>
                <w:szCs w:val="20"/>
              </w:rPr>
              <w:t>2018-19</w:t>
            </w:r>
          </w:p>
          <w:p w:rsidR="001B212B" w:rsidRPr="001B212B" w:rsidRDefault="001B212B" w:rsidP="009A1FD2">
            <w:pPr>
              <w:autoSpaceDE w:val="0"/>
              <w:autoSpaceDN w:val="0"/>
              <w:adjustRightInd w:val="0"/>
              <w:jc w:val="center"/>
              <w:rPr>
                <w:rFonts w:ascii="Arial" w:hAnsi="Arial" w:cs="Arial"/>
                <w:b/>
                <w:sz w:val="20"/>
                <w:szCs w:val="20"/>
              </w:rPr>
            </w:pPr>
            <w:r w:rsidRPr="001B212B">
              <w:rPr>
                <w:rFonts w:ascii="Arial" w:hAnsi="Arial" w:cs="Arial"/>
                <w:b/>
                <w:sz w:val="20"/>
                <w:szCs w:val="20"/>
              </w:rPr>
              <w:t>adjusted AEF plus top-up funding</w:t>
            </w:r>
            <w:r w:rsidRPr="001B212B">
              <w:rPr>
                <w:rFonts w:ascii="Arial" w:hAnsi="Arial" w:cs="Arial"/>
                <w:b/>
                <w:sz w:val="20"/>
                <w:szCs w:val="20"/>
                <w:vertAlign w:val="superscript"/>
              </w:rPr>
              <w:t>1</w:t>
            </w:r>
          </w:p>
        </w:tc>
        <w:tc>
          <w:tcPr>
            <w:tcW w:w="287" w:type="dxa"/>
            <w:tcBorders>
              <w:top w:val="single" w:sz="4" w:space="0" w:color="auto"/>
            </w:tcBorders>
            <w:shd w:val="solid" w:color="FFFFFF" w:fill="auto"/>
            <w:vAlign w:val="center"/>
          </w:tcPr>
          <w:p w:rsidR="001B212B" w:rsidRPr="001B212B" w:rsidRDefault="001B212B" w:rsidP="009A1FD2">
            <w:pPr>
              <w:autoSpaceDE w:val="0"/>
              <w:autoSpaceDN w:val="0"/>
              <w:adjustRightInd w:val="0"/>
              <w:jc w:val="center"/>
              <w:rPr>
                <w:rFonts w:ascii="Arial" w:hAnsi="Arial" w:cs="Arial"/>
                <w:b/>
                <w:sz w:val="20"/>
                <w:szCs w:val="20"/>
              </w:rPr>
            </w:pPr>
          </w:p>
        </w:tc>
        <w:tc>
          <w:tcPr>
            <w:tcW w:w="1067" w:type="dxa"/>
            <w:tcBorders>
              <w:top w:val="single" w:sz="4" w:space="0" w:color="auto"/>
              <w:bottom w:val="single" w:sz="4" w:space="0" w:color="auto"/>
            </w:tcBorders>
            <w:shd w:val="solid" w:color="FFFFFF" w:fill="auto"/>
            <w:vAlign w:val="center"/>
          </w:tcPr>
          <w:p w:rsidR="001B212B" w:rsidRPr="001B212B" w:rsidRDefault="001B212B" w:rsidP="009A1FD2">
            <w:pPr>
              <w:autoSpaceDE w:val="0"/>
              <w:autoSpaceDN w:val="0"/>
              <w:adjustRightInd w:val="0"/>
              <w:jc w:val="center"/>
              <w:rPr>
                <w:rFonts w:ascii="Arial" w:hAnsi="Arial" w:cs="Arial"/>
                <w:b/>
                <w:sz w:val="20"/>
                <w:szCs w:val="20"/>
              </w:rPr>
            </w:pPr>
            <w:r w:rsidRPr="001B212B">
              <w:rPr>
                <w:rFonts w:ascii="Arial" w:hAnsi="Arial" w:cs="Arial"/>
                <w:b/>
                <w:sz w:val="20"/>
                <w:szCs w:val="20"/>
              </w:rPr>
              <w:t>Of which top-up funding</w:t>
            </w:r>
          </w:p>
        </w:tc>
        <w:tc>
          <w:tcPr>
            <w:tcW w:w="287" w:type="dxa"/>
            <w:tcBorders>
              <w:top w:val="single" w:sz="4" w:space="0" w:color="auto"/>
            </w:tcBorders>
            <w:shd w:val="solid" w:color="FFFFFF" w:fill="auto"/>
            <w:vAlign w:val="center"/>
          </w:tcPr>
          <w:p w:rsidR="001B212B" w:rsidRPr="001B212B" w:rsidRDefault="001B212B" w:rsidP="009A1FD2">
            <w:pPr>
              <w:autoSpaceDE w:val="0"/>
              <w:autoSpaceDN w:val="0"/>
              <w:adjustRightInd w:val="0"/>
              <w:jc w:val="center"/>
              <w:rPr>
                <w:rFonts w:ascii="Arial" w:hAnsi="Arial" w:cs="Arial"/>
                <w:b/>
                <w:sz w:val="20"/>
                <w:szCs w:val="20"/>
              </w:rPr>
            </w:pPr>
          </w:p>
        </w:tc>
        <w:tc>
          <w:tcPr>
            <w:tcW w:w="1570" w:type="dxa"/>
            <w:tcBorders>
              <w:top w:val="single" w:sz="4" w:space="0" w:color="auto"/>
              <w:bottom w:val="single" w:sz="4" w:space="0" w:color="auto"/>
            </w:tcBorders>
            <w:shd w:val="solid" w:color="FFFFFF" w:fill="auto"/>
            <w:vAlign w:val="center"/>
          </w:tcPr>
          <w:p w:rsidR="001B212B" w:rsidRPr="001B212B" w:rsidRDefault="001B212B" w:rsidP="009A1FD2">
            <w:pPr>
              <w:autoSpaceDE w:val="0"/>
              <w:autoSpaceDN w:val="0"/>
              <w:adjustRightInd w:val="0"/>
              <w:jc w:val="center"/>
              <w:rPr>
                <w:rFonts w:ascii="Arial" w:hAnsi="Arial" w:cs="Arial"/>
                <w:b/>
                <w:sz w:val="20"/>
                <w:szCs w:val="20"/>
              </w:rPr>
            </w:pPr>
            <w:r w:rsidRPr="001B212B">
              <w:rPr>
                <w:rFonts w:ascii="Arial" w:hAnsi="Arial" w:cs="Arial"/>
                <w:b/>
                <w:sz w:val="20"/>
                <w:szCs w:val="20"/>
              </w:rPr>
              <w:t>2019-20 provisional AEF</w:t>
            </w:r>
          </w:p>
        </w:tc>
        <w:tc>
          <w:tcPr>
            <w:tcW w:w="286" w:type="dxa"/>
            <w:tcBorders>
              <w:top w:val="single" w:sz="4" w:space="0" w:color="auto"/>
            </w:tcBorders>
            <w:shd w:val="solid" w:color="FFFFFF" w:fill="auto"/>
            <w:vAlign w:val="center"/>
          </w:tcPr>
          <w:p w:rsidR="001B212B" w:rsidRPr="001B212B" w:rsidRDefault="001B212B" w:rsidP="009A1FD2">
            <w:pPr>
              <w:autoSpaceDE w:val="0"/>
              <w:autoSpaceDN w:val="0"/>
              <w:adjustRightInd w:val="0"/>
              <w:jc w:val="center"/>
              <w:rPr>
                <w:rFonts w:ascii="Arial" w:hAnsi="Arial" w:cs="Arial"/>
                <w:b/>
                <w:sz w:val="20"/>
                <w:szCs w:val="20"/>
              </w:rPr>
            </w:pPr>
          </w:p>
        </w:tc>
        <w:tc>
          <w:tcPr>
            <w:tcW w:w="857" w:type="dxa"/>
            <w:tcBorders>
              <w:top w:val="single" w:sz="4" w:space="0" w:color="auto"/>
              <w:bottom w:val="single" w:sz="4" w:space="0" w:color="auto"/>
            </w:tcBorders>
            <w:shd w:val="solid" w:color="FFFFFF" w:fill="auto"/>
            <w:vAlign w:val="center"/>
          </w:tcPr>
          <w:p w:rsidR="001B212B" w:rsidRPr="001B212B" w:rsidRDefault="001B212B" w:rsidP="009A1FD2">
            <w:pPr>
              <w:autoSpaceDE w:val="0"/>
              <w:autoSpaceDN w:val="0"/>
              <w:adjustRightInd w:val="0"/>
              <w:jc w:val="center"/>
              <w:rPr>
                <w:rFonts w:ascii="Arial" w:hAnsi="Arial" w:cs="Arial"/>
                <w:b/>
                <w:sz w:val="20"/>
                <w:szCs w:val="20"/>
              </w:rPr>
            </w:pPr>
            <w:r w:rsidRPr="001B212B">
              <w:rPr>
                <w:rFonts w:ascii="Arial" w:hAnsi="Arial" w:cs="Arial"/>
                <w:b/>
                <w:sz w:val="20"/>
                <w:szCs w:val="20"/>
              </w:rPr>
              <w:t>2019-20 top-up</w:t>
            </w:r>
          </w:p>
          <w:p w:rsidR="001B212B" w:rsidRPr="001B212B" w:rsidRDefault="001B212B" w:rsidP="009A1FD2">
            <w:pPr>
              <w:autoSpaceDE w:val="0"/>
              <w:autoSpaceDN w:val="0"/>
              <w:adjustRightInd w:val="0"/>
              <w:jc w:val="center"/>
              <w:rPr>
                <w:rFonts w:ascii="Arial" w:hAnsi="Arial" w:cs="Arial"/>
                <w:b/>
                <w:sz w:val="20"/>
                <w:szCs w:val="20"/>
              </w:rPr>
            </w:pPr>
            <w:r w:rsidRPr="001B212B">
              <w:rPr>
                <w:rFonts w:ascii="Arial" w:hAnsi="Arial" w:cs="Arial"/>
                <w:b/>
                <w:sz w:val="20"/>
                <w:szCs w:val="20"/>
              </w:rPr>
              <w:t>funding</w:t>
            </w:r>
          </w:p>
        </w:tc>
        <w:tc>
          <w:tcPr>
            <w:tcW w:w="286" w:type="dxa"/>
            <w:tcBorders>
              <w:top w:val="single" w:sz="4" w:space="0" w:color="auto"/>
            </w:tcBorders>
            <w:shd w:val="solid" w:color="FFFFFF" w:fill="auto"/>
            <w:vAlign w:val="center"/>
          </w:tcPr>
          <w:p w:rsidR="001B212B" w:rsidRPr="001B212B" w:rsidRDefault="001B212B" w:rsidP="009A1FD2">
            <w:pPr>
              <w:autoSpaceDE w:val="0"/>
              <w:autoSpaceDN w:val="0"/>
              <w:adjustRightInd w:val="0"/>
              <w:jc w:val="center"/>
              <w:rPr>
                <w:rFonts w:ascii="Arial" w:hAnsi="Arial" w:cs="Arial"/>
                <w:b/>
                <w:sz w:val="20"/>
                <w:szCs w:val="20"/>
              </w:rPr>
            </w:pPr>
          </w:p>
        </w:tc>
        <w:tc>
          <w:tcPr>
            <w:tcW w:w="1569" w:type="dxa"/>
            <w:tcBorders>
              <w:top w:val="single" w:sz="4" w:space="0" w:color="auto"/>
              <w:bottom w:val="single" w:sz="4" w:space="0" w:color="auto"/>
            </w:tcBorders>
            <w:shd w:val="solid" w:color="FFFFFF" w:fill="auto"/>
            <w:vAlign w:val="center"/>
          </w:tcPr>
          <w:p w:rsidR="001B212B" w:rsidRPr="001B212B" w:rsidRDefault="001B212B" w:rsidP="009A1FD2">
            <w:pPr>
              <w:autoSpaceDE w:val="0"/>
              <w:autoSpaceDN w:val="0"/>
              <w:adjustRightInd w:val="0"/>
              <w:jc w:val="center"/>
              <w:rPr>
                <w:rFonts w:ascii="Arial" w:hAnsi="Arial" w:cs="Arial"/>
                <w:b/>
                <w:sz w:val="20"/>
                <w:szCs w:val="20"/>
              </w:rPr>
            </w:pPr>
            <w:r w:rsidRPr="001B212B">
              <w:rPr>
                <w:rFonts w:ascii="Arial" w:hAnsi="Arial" w:cs="Arial"/>
                <w:b/>
                <w:sz w:val="20"/>
                <w:szCs w:val="20"/>
              </w:rPr>
              <w:t>2019-20</w:t>
            </w:r>
          </w:p>
          <w:p w:rsidR="001B212B" w:rsidRPr="001B212B" w:rsidRDefault="001B212B" w:rsidP="009A1FD2">
            <w:pPr>
              <w:autoSpaceDE w:val="0"/>
              <w:autoSpaceDN w:val="0"/>
              <w:adjustRightInd w:val="0"/>
              <w:jc w:val="center"/>
              <w:rPr>
                <w:rFonts w:ascii="Arial" w:hAnsi="Arial" w:cs="Arial"/>
                <w:b/>
                <w:sz w:val="20"/>
                <w:szCs w:val="20"/>
              </w:rPr>
            </w:pPr>
            <w:r w:rsidRPr="001B212B">
              <w:rPr>
                <w:rFonts w:ascii="Arial" w:hAnsi="Arial" w:cs="Arial"/>
                <w:b/>
                <w:sz w:val="20"/>
                <w:szCs w:val="20"/>
              </w:rPr>
              <w:t>provisional AEF plus top</w:t>
            </w:r>
            <w:r w:rsidRPr="001B212B">
              <w:rPr>
                <w:rFonts w:ascii="Arial" w:hAnsi="Arial" w:cs="Arial"/>
                <w:b/>
                <w:sz w:val="20"/>
                <w:szCs w:val="20"/>
              </w:rPr>
              <w:noBreakHyphen/>
              <w:t>up funding</w:t>
            </w:r>
            <w:r w:rsidRPr="001B212B">
              <w:rPr>
                <w:rFonts w:ascii="Arial" w:hAnsi="Arial" w:cs="Arial"/>
                <w:b/>
                <w:sz w:val="20"/>
                <w:szCs w:val="20"/>
                <w:vertAlign w:val="superscript"/>
              </w:rPr>
              <w:t>2</w:t>
            </w:r>
          </w:p>
        </w:tc>
        <w:tc>
          <w:tcPr>
            <w:tcW w:w="287" w:type="dxa"/>
            <w:tcBorders>
              <w:top w:val="single" w:sz="4" w:space="0" w:color="auto"/>
            </w:tcBorders>
            <w:shd w:val="solid" w:color="FFFFFF" w:fill="auto"/>
            <w:vAlign w:val="center"/>
          </w:tcPr>
          <w:p w:rsidR="001B212B" w:rsidRPr="001B212B" w:rsidRDefault="001B212B" w:rsidP="009A1FD2">
            <w:pPr>
              <w:autoSpaceDE w:val="0"/>
              <w:autoSpaceDN w:val="0"/>
              <w:adjustRightInd w:val="0"/>
              <w:jc w:val="center"/>
              <w:rPr>
                <w:rFonts w:ascii="Arial" w:hAnsi="Arial" w:cs="Arial"/>
                <w:b/>
                <w:sz w:val="20"/>
                <w:szCs w:val="20"/>
              </w:rPr>
            </w:pPr>
          </w:p>
        </w:tc>
        <w:tc>
          <w:tcPr>
            <w:tcW w:w="1337" w:type="dxa"/>
            <w:tcBorders>
              <w:top w:val="single" w:sz="4" w:space="0" w:color="auto"/>
              <w:bottom w:val="single" w:sz="4" w:space="0" w:color="auto"/>
            </w:tcBorders>
            <w:shd w:val="solid" w:color="FFFFFF" w:fill="auto"/>
            <w:vAlign w:val="center"/>
          </w:tcPr>
          <w:p w:rsidR="001B212B" w:rsidRPr="001B212B" w:rsidRDefault="001B212B" w:rsidP="009A1FD2">
            <w:pPr>
              <w:autoSpaceDE w:val="0"/>
              <w:autoSpaceDN w:val="0"/>
              <w:adjustRightInd w:val="0"/>
              <w:jc w:val="center"/>
              <w:rPr>
                <w:rFonts w:ascii="Arial" w:hAnsi="Arial" w:cs="Arial"/>
                <w:b/>
                <w:sz w:val="20"/>
                <w:szCs w:val="20"/>
              </w:rPr>
            </w:pPr>
            <w:r w:rsidRPr="001B212B">
              <w:rPr>
                <w:rFonts w:ascii="Arial" w:hAnsi="Arial" w:cs="Arial"/>
                <w:b/>
                <w:sz w:val="20"/>
                <w:szCs w:val="20"/>
              </w:rPr>
              <w:t>% change on adjusted 2018-19 AEF plus top-up funding</w:t>
            </w:r>
          </w:p>
        </w:tc>
        <w:tc>
          <w:tcPr>
            <w:tcW w:w="281" w:type="dxa"/>
            <w:tcBorders>
              <w:top w:val="single" w:sz="4" w:space="0" w:color="auto"/>
            </w:tcBorders>
            <w:shd w:val="solid" w:color="FFFFFF" w:fill="auto"/>
            <w:vAlign w:val="center"/>
          </w:tcPr>
          <w:p w:rsidR="001B212B" w:rsidRPr="001B212B" w:rsidRDefault="001B212B" w:rsidP="009A1FD2">
            <w:pPr>
              <w:autoSpaceDE w:val="0"/>
              <w:autoSpaceDN w:val="0"/>
              <w:adjustRightInd w:val="0"/>
              <w:jc w:val="center"/>
              <w:rPr>
                <w:rFonts w:ascii="Arial" w:hAnsi="Arial" w:cs="Arial"/>
                <w:b/>
                <w:sz w:val="20"/>
                <w:szCs w:val="20"/>
              </w:rPr>
            </w:pPr>
          </w:p>
        </w:tc>
        <w:tc>
          <w:tcPr>
            <w:tcW w:w="572" w:type="dxa"/>
            <w:tcBorders>
              <w:top w:val="single" w:sz="4" w:space="0" w:color="auto"/>
              <w:bottom w:val="single" w:sz="4" w:space="0" w:color="auto"/>
            </w:tcBorders>
            <w:shd w:val="solid" w:color="FFFFFF" w:fill="auto"/>
            <w:vAlign w:val="center"/>
          </w:tcPr>
          <w:p w:rsidR="001B212B" w:rsidRPr="001B212B" w:rsidRDefault="001B212B" w:rsidP="009A1FD2">
            <w:pPr>
              <w:autoSpaceDE w:val="0"/>
              <w:autoSpaceDN w:val="0"/>
              <w:adjustRightInd w:val="0"/>
              <w:jc w:val="center"/>
              <w:rPr>
                <w:rFonts w:ascii="Arial" w:hAnsi="Arial" w:cs="Arial"/>
                <w:b/>
                <w:sz w:val="20"/>
                <w:szCs w:val="20"/>
              </w:rPr>
            </w:pPr>
            <w:r w:rsidRPr="001B212B">
              <w:rPr>
                <w:rFonts w:ascii="Arial" w:hAnsi="Arial" w:cs="Arial"/>
                <w:b/>
                <w:sz w:val="20"/>
                <w:szCs w:val="20"/>
              </w:rPr>
              <w:t>Rank</w:t>
            </w:r>
          </w:p>
        </w:tc>
        <w:tc>
          <w:tcPr>
            <w:tcW w:w="287" w:type="dxa"/>
            <w:tcBorders>
              <w:top w:val="single" w:sz="4" w:space="0" w:color="auto"/>
            </w:tcBorders>
            <w:shd w:val="solid" w:color="FFFFFF" w:fill="auto"/>
            <w:vAlign w:val="center"/>
          </w:tcPr>
          <w:p w:rsidR="001B212B" w:rsidRPr="001B212B" w:rsidRDefault="001B212B" w:rsidP="009A1FD2">
            <w:pPr>
              <w:autoSpaceDE w:val="0"/>
              <w:autoSpaceDN w:val="0"/>
              <w:adjustRightInd w:val="0"/>
              <w:jc w:val="center"/>
              <w:rPr>
                <w:rFonts w:ascii="Arial" w:hAnsi="Arial" w:cs="Arial"/>
                <w:b/>
                <w:sz w:val="20"/>
                <w:szCs w:val="20"/>
              </w:rPr>
            </w:pPr>
          </w:p>
        </w:tc>
        <w:tc>
          <w:tcPr>
            <w:tcW w:w="1348" w:type="dxa"/>
            <w:tcBorders>
              <w:top w:val="single" w:sz="4" w:space="0" w:color="auto"/>
              <w:bottom w:val="single" w:sz="4" w:space="0" w:color="auto"/>
            </w:tcBorders>
            <w:shd w:val="solid" w:color="FFFFFF" w:fill="auto"/>
            <w:vAlign w:val="center"/>
          </w:tcPr>
          <w:p w:rsidR="001B212B" w:rsidRPr="001B212B" w:rsidRDefault="001B212B" w:rsidP="009A1FD2">
            <w:pPr>
              <w:autoSpaceDE w:val="0"/>
              <w:autoSpaceDN w:val="0"/>
              <w:adjustRightInd w:val="0"/>
              <w:jc w:val="center"/>
              <w:rPr>
                <w:rFonts w:ascii="Arial" w:hAnsi="Arial" w:cs="Arial"/>
                <w:b/>
                <w:sz w:val="20"/>
                <w:szCs w:val="20"/>
              </w:rPr>
            </w:pPr>
            <w:r w:rsidRPr="001B212B">
              <w:rPr>
                <w:rFonts w:ascii="Arial" w:hAnsi="Arial" w:cs="Arial"/>
                <w:b/>
                <w:sz w:val="20"/>
                <w:szCs w:val="20"/>
              </w:rPr>
              <w:t>Council Tax Reduction Schemes (distributed within AEF)</w:t>
            </w:r>
          </w:p>
        </w:tc>
      </w:tr>
      <w:tr w:rsidR="001B212B" w:rsidRPr="001B212B" w:rsidTr="009A1FD2">
        <w:trPr>
          <w:trHeight w:val="103"/>
        </w:trPr>
        <w:tc>
          <w:tcPr>
            <w:tcW w:w="2455" w:type="dxa"/>
            <w:tcBorders>
              <w:top w:val="single" w:sz="4" w:space="0" w:color="auto"/>
            </w:tcBorders>
            <w:shd w:val="solid" w:color="FFFFFF" w:fill="auto"/>
          </w:tcPr>
          <w:p w:rsidR="001B212B" w:rsidRPr="001B212B" w:rsidRDefault="001B212B" w:rsidP="009A1FD2">
            <w:pPr>
              <w:autoSpaceDE w:val="0"/>
              <w:autoSpaceDN w:val="0"/>
              <w:adjustRightInd w:val="0"/>
              <w:jc w:val="right"/>
              <w:rPr>
                <w:rFonts w:ascii="Arial" w:hAnsi="Arial" w:cs="Arial"/>
                <w:sz w:val="20"/>
                <w:szCs w:val="20"/>
                <w:highlight w:val="yellow"/>
              </w:rPr>
            </w:pPr>
          </w:p>
        </w:tc>
        <w:tc>
          <w:tcPr>
            <w:tcW w:w="286" w:type="dxa"/>
            <w:shd w:val="solid" w:color="FFFFFF" w:fill="auto"/>
          </w:tcPr>
          <w:p w:rsidR="001B212B" w:rsidRPr="001B212B" w:rsidRDefault="001B212B" w:rsidP="009A1FD2">
            <w:pPr>
              <w:autoSpaceDE w:val="0"/>
              <w:autoSpaceDN w:val="0"/>
              <w:adjustRightInd w:val="0"/>
              <w:jc w:val="right"/>
              <w:rPr>
                <w:rFonts w:ascii="Arial" w:hAnsi="Arial" w:cs="Arial"/>
                <w:color w:val="FF0000"/>
                <w:sz w:val="20"/>
                <w:szCs w:val="20"/>
                <w:highlight w:val="yellow"/>
              </w:rPr>
            </w:pPr>
          </w:p>
        </w:tc>
        <w:tc>
          <w:tcPr>
            <w:tcW w:w="1427" w:type="dxa"/>
            <w:tcBorders>
              <w:top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sz w:val="20"/>
                <w:szCs w:val="20"/>
                <w:highlight w:val="yellow"/>
              </w:rPr>
            </w:pPr>
          </w:p>
        </w:tc>
        <w:tc>
          <w:tcPr>
            <w:tcW w:w="287" w:type="dxa"/>
            <w:shd w:val="solid" w:color="FFFFFF" w:fill="auto"/>
          </w:tcPr>
          <w:p w:rsidR="001B212B" w:rsidRPr="001B212B" w:rsidRDefault="001B212B" w:rsidP="009A1FD2">
            <w:pPr>
              <w:autoSpaceDE w:val="0"/>
              <w:autoSpaceDN w:val="0"/>
              <w:adjustRightInd w:val="0"/>
              <w:jc w:val="right"/>
              <w:rPr>
                <w:rFonts w:ascii="Arial" w:hAnsi="Arial" w:cs="Arial"/>
                <w:sz w:val="20"/>
                <w:szCs w:val="20"/>
                <w:highlight w:val="yellow"/>
              </w:rPr>
            </w:pPr>
          </w:p>
        </w:tc>
        <w:tc>
          <w:tcPr>
            <w:tcW w:w="1067" w:type="dxa"/>
            <w:tcBorders>
              <w:top w:val="single" w:sz="4" w:space="0" w:color="auto"/>
            </w:tcBorders>
            <w:shd w:val="solid" w:color="FFFFFF" w:fill="auto"/>
          </w:tcPr>
          <w:p w:rsidR="001B212B" w:rsidRPr="001B212B" w:rsidRDefault="001B212B" w:rsidP="009A1FD2">
            <w:pPr>
              <w:autoSpaceDE w:val="0"/>
              <w:autoSpaceDN w:val="0"/>
              <w:adjustRightInd w:val="0"/>
              <w:jc w:val="right"/>
              <w:rPr>
                <w:rFonts w:ascii="Arial" w:hAnsi="Arial" w:cs="Arial"/>
                <w:sz w:val="20"/>
                <w:szCs w:val="20"/>
                <w:highlight w:val="yellow"/>
              </w:rPr>
            </w:pPr>
          </w:p>
        </w:tc>
        <w:tc>
          <w:tcPr>
            <w:tcW w:w="287" w:type="dxa"/>
            <w:shd w:val="solid" w:color="FFFFFF" w:fill="auto"/>
          </w:tcPr>
          <w:p w:rsidR="001B212B" w:rsidRPr="001B212B" w:rsidRDefault="001B212B" w:rsidP="009A1FD2">
            <w:pPr>
              <w:autoSpaceDE w:val="0"/>
              <w:autoSpaceDN w:val="0"/>
              <w:adjustRightInd w:val="0"/>
              <w:jc w:val="right"/>
              <w:rPr>
                <w:rFonts w:ascii="Arial" w:hAnsi="Arial" w:cs="Arial"/>
                <w:sz w:val="20"/>
                <w:szCs w:val="20"/>
                <w:highlight w:val="yellow"/>
              </w:rPr>
            </w:pPr>
          </w:p>
        </w:tc>
        <w:tc>
          <w:tcPr>
            <w:tcW w:w="1570" w:type="dxa"/>
            <w:tcBorders>
              <w:top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sz w:val="20"/>
                <w:szCs w:val="20"/>
                <w:highlight w:val="yellow"/>
              </w:rPr>
            </w:pPr>
          </w:p>
        </w:tc>
        <w:tc>
          <w:tcPr>
            <w:tcW w:w="286" w:type="dxa"/>
            <w:shd w:val="solid" w:color="FFFFFF" w:fill="auto"/>
          </w:tcPr>
          <w:p w:rsidR="001B212B" w:rsidRPr="001B212B" w:rsidRDefault="001B212B" w:rsidP="009A1FD2">
            <w:pPr>
              <w:autoSpaceDE w:val="0"/>
              <w:autoSpaceDN w:val="0"/>
              <w:adjustRightInd w:val="0"/>
              <w:jc w:val="right"/>
              <w:rPr>
                <w:rFonts w:ascii="Arial" w:hAnsi="Arial" w:cs="Arial"/>
                <w:sz w:val="20"/>
                <w:szCs w:val="20"/>
                <w:highlight w:val="yellow"/>
              </w:rPr>
            </w:pPr>
          </w:p>
        </w:tc>
        <w:tc>
          <w:tcPr>
            <w:tcW w:w="857" w:type="dxa"/>
            <w:tcBorders>
              <w:top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sz w:val="20"/>
                <w:szCs w:val="20"/>
                <w:highlight w:val="yellow"/>
              </w:rPr>
            </w:pPr>
          </w:p>
        </w:tc>
        <w:tc>
          <w:tcPr>
            <w:tcW w:w="286" w:type="dxa"/>
            <w:shd w:val="solid" w:color="FFFFFF" w:fill="auto"/>
          </w:tcPr>
          <w:p w:rsidR="001B212B" w:rsidRPr="001B212B" w:rsidRDefault="001B212B" w:rsidP="009A1FD2">
            <w:pPr>
              <w:autoSpaceDE w:val="0"/>
              <w:autoSpaceDN w:val="0"/>
              <w:adjustRightInd w:val="0"/>
              <w:jc w:val="right"/>
              <w:rPr>
                <w:rFonts w:ascii="Arial" w:hAnsi="Arial" w:cs="Arial"/>
                <w:sz w:val="20"/>
                <w:szCs w:val="20"/>
                <w:highlight w:val="yellow"/>
              </w:rPr>
            </w:pPr>
          </w:p>
        </w:tc>
        <w:tc>
          <w:tcPr>
            <w:tcW w:w="1569" w:type="dxa"/>
            <w:tcBorders>
              <w:top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sz w:val="20"/>
                <w:szCs w:val="20"/>
                <w:highlight w:val="yellow"/>
              </w:rPr>
            </w:pPr>
          </w:p>
        </w:tc>
        <w:tc>
          <w:tcPr>
            <w:tcW w:w="287" w:type="dxa"/>
            <w:shd w:val="solid" w:color="FFFFFF" w:fill="auto"/>
          </w:tcPr>
          <w:p w:rsidR="001B212B" w:rsidRPr="001B212B" w:rsidRDefault="001B212B" w:rsidP="009A1FD2">
            <w:pPr>
              <w:autoSpaceDE w:val="0"/>
              <w:autoSpaceDN w:val="0"/>
              <w:adjustRightInd w:val="0"/>
              <w:jc w:val="right"/>
              <w:rPr>
                <w:rFonts w:ascii="Arial" w:hAnsi="Arial" w:cs="Arial"/>
                <w:sz w:val="20"/>
                <w:szCs w:val="20"/>
                <w:highlight w:val="yellow"/>
              </w:rPr>
            </w:pPr>
          </w:p>
        </w:tc>
        <w:tc>
          <w:tcPr>
            <w:tcW w:w="1337" w:type="dxa"/>
            <w:tcBorders>
              <w:top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sz w:val="20"/>
                <w:szCs w:val="20"/>
                <w:highlight w:val="yellow"/>
              </w:rPr>
            </w:pPr>
          </w:p>
        </w:tc>
        <w:tc>
          <w:tcPr>
            <w:tcW w:w="281" w:type="dxa"/>
            <w:shd w:val="solid" w:color="FFFFFF" w:fill="auto"/>
          </w:tcPr>
          <w:p w:rsidR="001B212B" w:rsidRPr="001B212B" w:rsidRDefault="001B212B" w:rsidP="009A1FD2">
            <w:pPr>
              <w:autoSpaceDE w:val="0"/>
              <w:autoSpaceDN w:val="0"/>
              <w:adjustRightInd w:val="0"/>
              <w:jc w:val="right"/>
              <w:rPr>
                <w:rFonts w:ascii="Arial" w:hAnsi="Arial" w:cs="Arial"/>
                <w:sz w:val="20"/>
                <w:szCs w:val="20"/>
                <w:highlight w:val="yellow"/>
              </w:rPr>
            </w:pPr>
          </w:p>
        </w:tc>
        <w:tc>
          <w:tcPr>
            <w:tcW w:w="572" w:type="dxa"/>
            <w:tcBorders>
              <w:top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sz w:val="20"/>
                <w:szCs w:val="20"/>
                <w:highlight w:val="yellow"/>
              </w:rPr>
            </w:pPr>
          </w:p>
        </w:tc>
        <w:tc>
          <w:tcPr>
            <w:tcW w:w="287" w:type="dxa"/>
            <w:shd w:val="solid" w:color="FFFFFF" w:fill="auto"/>
          </w:tcPr>
          <w:p w:rsidR="001B212B" w:rsidRPr="001B212B" w:rsidRDefault="001B212B" w:rsidP="009A1FD2">
            <w:pPr>
              <w:autoSpaceDE w:val="0"/>
              <w:autoSpaceDN w:val="0"/>
              <w:adjustRightInd w:val="0"/>
              <w:jc w:val="right"/>
              <w:rPr>
                <w:rFonts w:ascii="Arial" w:hAnsi="Arial" w:cs="Arial"/>
                <w:sz w:val="20"/>
                <w:szCs w:val="20"/>
                <w:highlight w:val="yellow"/>
              </w:rPr>
            </w:pPr>
          </w:p>
        </w:tc>
        <w:tc>
          <w:tcPr>
            <w:tcW w:w="1348" w:type="dxa"/>
            <w:tcBorders>
              <w:top w:val="single" w:sz="4" w:space="0" w:color="auto"/>
            </w:tcBorders>
            <w:shd w:val="solid" w:color="FFFFFF" w:fill="auto"/>
          </w:tcPr>
          <w:p w:rsidR="001B212B" w:rsidRPr="001B212B" w:rsidRDefault="001B212B" w:rsidP="009A1FD2">
            <w:pPr>
              <w:autoSpaceDE w:val="0"/>
              <w:autoSpaceDN w:val="0"/>
              <w:adjustRightInd w:val="0"/>
              <w:jc w:val="right"/>
              <w:rPr>
                <w:rFonts w:ascii="Arial" w:hAnsi="Arial" w:cs="Arial"/>
                <w:sz w:val="20"/>
                <w:szCs w:val="20"/>
                <w:highlight w:val="yellow"/>
              </w:rPr>
            </w:pPr>
          </w:p>
        </w:tc>
      </w:tr>
      <w:tr w:rsidR="001B212B" w:rsidRPr="001B212B" w:rsidTr="003525CA">
        <w:trPr>
          <w:trHeight w:val="259"/>
        </w:trPr>
        <w:tc>
          <w:tcPr>
            <w:tcW w:w="2455" w:type="dxa"/>
            <w:shd w:val="solid" w:color="FFFFFF" w:fill="auto"/>
            <w:vAlign w:val="center"/>
          </w:tcPr>
          <w:p w:rsidR="001B212B" w:rsidRPr="001B212B" w:rsidRDefault="001B212B" w:rsidP="003525CA">
            <w:pPr>
              <w:autoSpaceDE w:val="0"/>
              <w:autoSpaceDN w:val="0"/>
              <w:adjustRightInd w:val="0"/>
              <w:rPr>
                <w:rFonts w:ascii="Arial" w:hAnsi="Arial" w:cs="Arial"/>
                <w:sz w:val="20"/>
                <w:szCs w:val="20"/>
              </w:rPr>
            </w:pPr>
            <w:r w:rsidRPr="001B212B">
              <w:rPr>
                <w:rFonts w:ascii="Arial" w:hAnsi="Arial" w:cs="Arial"/>
                <w:sz w:val="20"/>
                <w:szCs w:val="20"/>
              </w:rPr>
              <w:t>Isle of Anglesey</w:t>
            </w:r>
          </w:p>
        </w:tc>
        <w:tc>
          <w:tcPr>
            <w:tcW w:w="286" w:type="dxa"/>
            <w:shd w:val="solid" w:color="FFFFFF" w:fill="auto"/>
          </w:tcPr>
          <w:p w:rsidR="001B212B" w:rsidRPr="001B212B" w:rsidRDefault="001B212B" w:rsidP="009A1FD2">
            <w:pPr>
              <w:autoSpaceDE w:val="0"/>
              <w:autoSpaceDN w:val="0"/>
              <w:adjustRightInd w:val="0"/>
              <w:jc w:val="right"/>
              <w:rPr>
                <w:rFonts w:ascii="Arial" w:hAnsi="Arial" w:cs="Arial"/>
                <w:color w:val="FF0000"/>
                <w:sz w:val="20"/>
                <w:szCs w:val="20"/>
                <w:highlight w:val="yellow"/>
              </w:rPr>
            </w:pPr>
          </w:p>
        </w:tc>
        <w:tc>
          <w:tcPr>
            <w:tcW w:w="142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96,120</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06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570"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95,076</w:t>
            </w:r>
          </w:p>
        </w:tc>
        <w:tc>
          <w:tcPr>
            <w:tcW w:w="286"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85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83</w:t>
            </w:r>
          </w:p>
        </w:tc>
        <w:tc>
          <w:tcPr>
            <w:tcW w:w="286"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569"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95,159</w:t>
            </w:r>
          </w:p>
        </w:tc>
        <w:tc>
          <w:tcPr>
            <w:tcW w:w="287" w:type="dxa"/>
            <w:shd w:val="solid" w:color="FFFFFF" w:fill="auto"/>
            <w:vAlign w:val="center"/>
          </w:tcPr>
          <w:p w:rsidR="001B212B" w:rsidRPr="001B212B" w:rsidRDefault="001B212B" w:rsidP="003525CA">
            <w:pPr>
              <w:jc w:val="right"/>
              <w:rPr>
                <w:rFonts w:ascii="Arial" w:hAnsi="Arial" w:cs="Arial"/>
                <w:b/>
                <w:sz w:val="20"/>
                <w:szCs w:val="20"/>
                <w:highlight w:val="yellow"/>
              </w:rPr>
            </w:pPr>
          </w:p>
        </w:tc>
        <w:tc>
          <w:tcPr>
            <w:tcW w:w="133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-1.0%</w:t>
            </w:r>
          </w:p>
        </w:tc>
        <w:tc>
          <w:tcPr>
            <w:tcW w:w="281"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572"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18</w:t>
            </w:r>
          </w:p>
        </w:tc>
        <w:tc>
          <w:tcPr>
            <w:tcW w:w="287"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348"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 xml:space="preserve"> 5,131 </w:t>
            </w:r>
          </w:p>
        </w:tc>
      </w:tr>
      <w:tr w:rsidR="001B212B" w:rsidRPr="001B212B" w:rsidTr="003525CA">
        <w:trPr>
          <w:trHeight w:val="259"/>
        </w:trPr>
        <w:tc>
          <w:tcPr>
            <w:tcW w:w="2455" w:type="dxa"/>
            <w:shd w:val="solid" w:color="FFFFFF" w:fill="auto"/>
            <w:vAlign w:val="center"/>
          </w:tcPr>
          <w:p w:rsidR="001B212B" w:rsidRPr="001B212B" w:rsidRDefault="001B212B" w:rsidP="003525CA">
            <w:pPr>
              <w:autoSpaceDE w:val="0"/>
              <w:autoSpaceDN w:val="0"/>
              <w:adjustRightInd w:val="0"/>
              <w:rPr>
                <w:rFonts w:ascii="Arial" w:hAnsi="Arial" w:cs="Arial"/>
                <w:sz w:val="20"/>
                <w:szCs w:val="20"/>
              </w:rPr>
            </w:pPr>
            <w:r w:rsidRPr="001B212B">
              <w:rPr>
                <w:rFonts w:ascii="Arial" w:hAnsi="Arial" w:cs="Arial"/>
                <w:sz w:val="20"/>
                <w:szCs w:val="20"/>
              </w:rPr>
              <w:t>Gwynedd</w:t>
            </w:r>
          </w:p>
        </w:tc>
        <w:tc>
          <w:tcPr>
            <w:tcW w:w="286" w:type="dxa"/>
            <w:shd w:val="solid" w:color="FFFFFF" w:fill="auto"/>
          </w:tcPr>
          <w:p w:rsidR="001B212B" w:rsidRPr="001B212B" w:rsidRDefault="001B212B" w:rsidP="009A1FD2">
            <w:pPr>
              <w:autoSpaceDE w:val="0"/>
              <w:autoSpaceDN w:val="0"/>
              <w:adjustRightInd w:val="0"/>
              <w:jc w:val="right"/>
              <w:rPr>
                <w:rFonts w:ascii="Arial" w:hAnsi="Arial" w:cs="Arial"/>
                <w:color w:val="FF0000"/>
                <w:sz w:val="20"/>
                <w:szCs w:val="20"/>
                <w:highlight w:val="yellow"/>
              </w:rPr>
            </w:pPr>
          </w:p>
        </w:tc>
        <w:tc>
          <w:tcPr>
            <w:tcW w:w="142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175,631</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06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570"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174,303</w:t>
            </w:r>
          </w:p>
        </w:tc>
        <w:tc>
          <w:tcPr>
            <w:tcW w:w="286"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85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6"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569"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174,303</w:t>
            </w:r>
          </w:p>
        </w:tc>
        <w:tc>
          <w:tcPr>
            <w:tcW w:w="287" w:type="dxa"/>
            <w:shd w:val="solid" w:color="FFFFFF" w:fill="auto"/>
            <w:vAlign w:val="center"/>
          </w:tcPr>
          <w:p w:rsidR="001B212B" w:rsidRPr="001B212B" w:rsidRDefault="001B212B" w:rsidP="003525CA">
            <w:pPr>
              <w:jc w:val="right"/>
              <w:rPr>
                <w:rFonts w:ascii="Arial" w:hAnsi="Arial" w:cs="Arial"/>
                <w:b/>
                <w:sz w:val="20"/>
                <w:szCs w:val="20"/>
                <w:highlight w:val="yellow"/>
              </w:rPr>
            </w:pPr>
          </w:p>
        </w:tc>
        <w:tc>
          <w:tcPr>
            <w:tcW w:w="133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-0.8%</w:t>
            </w:r>
          </w:p>
        </w:tc>
        <w:tc>
          <w:tcPr>
            <w:tcW w:w="281"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572"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17</w:t>
            </w:r>
          </w:p>
        </w:tc>
        <w:tc>
          <w:tcPr>
            <w:tcW w:w="287"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348"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 xml:space="preserve"> 8,829 </w:t>
            </w:r>
          </w:p>
        </w:tc>
      </w:tr>
      <w:tr w:rsidR="001B212B" w:rsidRPr="001B212B" w:rsidTr="003525CA">
        <w:trPr>
          <w:trHeight w:val="259"/>
        </w:trPr>
        <w:tc>
          <w:tcPr>
            <w:tcW w:w="2455" w:type="dxa"/>
            <w:shd w:val="solid" w:color="FFFFFF" w:fill="auto"/>
            <w:vAlign w:val="center"/>
          </w:tcPr>
          <w:p w:rsidR="001B212B" w:rsidRPr="001B212B" w:rsidRDefault="001B212B" w:rsidP="003525CA">
            <w:pPr>
              <w:autoSpaceDE w:val="0"/>
              <w:autoSpaceDN w:val="0"/>
              <w:adjustRightInd w:val="0"/>
              <w:rPr>
                <w:rFonts w:ascii="Arial" w:hAnsi="Arial" w:cs="Arial"/>
                <w:sz w:val="20"/>
                <w:szCs w:val="20"/>
              </w:rPr>
            </w:pPr>
            <w:r w:rsidRPr="001B212B">
              <w:rPr>
                <w:rFonts w:ascii="Arial" w:hAnsi="Arial" w:cs="Arial"/>
                <w:sz w:val="20"/>
                <w:szCs w:val="20"/>
              </w:rPr>
              <w:t>Conwy</w:t>
            </w:r>
          </w:p>
        </w:tc>
        <w:tc>
          <w:tcPr>
            <w:tcW w:w="286" w:type="dxa"/>
            <w:shd w:val="solid" w:color="FFFFFF" w:fill="auto"/>
          </w:tcPr>
          <w:p w:rsidR="001B212B" w:rsidRPr="001B212B" w:rsidRDefault="001B212B" w:rsidP="009A1FD2">
            <w:pPr>
              <w:autoSpaceDE w:val="0"/>
              <w:autoSpaceDN w:val="0"/>
              <w:adjustRightInd w:val="0"/>
              <w:jc w:val="right"/>
              <w:rPr>
                <w:rFonts w:ascii="Arial" w:hAnsi="Arial" w:cs="Arial"/>
                <w:color w:val="FF0000"/>
                <w:sz w:val="20"/>
                <w:szCs w:val="20"/>
                <w:highlight w:val="yellow"/>
              </w:rPr>
            </w:pPr>
          </w:p>
        </w:tc>
        <w:tc>
          <w:tcPr>
            <w:tcW w:w="142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154,017</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06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39</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570"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151,964</w:t>
            </w:r>
          </w:p>
        </w:tc>
        <w:tc>
          <w:tcPr>
            <w:tcW w:w="286"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85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513</w:t>
            </w:r>
          </w:p>
        </w:tc>
        <w:tc>
          <w:tcPr>
            <w:tcW w:w="286"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569"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152,477</w:t>
            </w:r>
          </w:p>
        </w:tc>
        <w:tc>
          <w:tcPr>
            <w:tcW w:w="287" w:type="dxa"/>
            <w:shd w:val="solid" w:color="FFFFFF" w:fill="auto"/>
            <w:vAlign w:val="center"/>
          </w:tcPr>
          <w:p w:rsidR="001B212B" w:rsidRPr="001B212B" w:rsidRDefault="001B212B" w:rsidP="003525CA">
            <w:pPr>
              <w:jc w:val="right"/>
              <w:rPr>
                <w:rFonts w:ascii="Arial" w:hAnsi="Arial" w:cs="Arial"/>
                <w:b/>
                <w:sz w:val="20"/>
                <w:szCs w:val="20"/>
                <w:highlight w:val="yellow"/>
              </w:rPr>
            </w:pPr>
          </w:p>
        </w:tc>
        <w:tc>
          <w:tcPr>
            <w:tcW w:w="133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-1.0%</w:t>
            </w:r>
          </w:p>
        </w:tc>
        <w:tc>
          <w:tcPr>
            <w:tcW w:w="281"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572"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18</w:t>
            </w:r>
          </w:p>
        </w:tc>
        <w:tc>
          <w:tcPr>
            <w:tcW w:w="287"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348"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 xml:space="preserve"> 9,030 </w:t>
            </w:r>
          </w:p>
        </w:tc>
      </w:tr>
      <w:tr w:rsidR="001B212B" w:rsidRPr="001B212B" w:rsidTr="003525CA">
        <w:trPr>
          <w:trHeight w:val="259"/>
        </w:trPr>
        <w:tc>
          <w:tcPr>
            <w:tcW w:w="2455" w:type="dxa"/>
            <w:shd w:val="solid" w:color="FFFFFF" w:fill="auto"/>
            <w:vAlign w:val="center"/>
          </w:tcPr>
          <w:p w:rsidR="001B212B" w:rsidRPr="001B212B" w:rsidRDefault="001B212B" w:rsidP="003525CA">
            <w:pPr>
              <w:autoSpaceDE w:val="0"/>
              <w:autoSpaceDN w:val="0"/>
              <w:adjustRightInd w:val="0"/>
              <w:rPr>
                <w:rFonts w:ascii="Arial" w:hAnsi="Arial" w:cs="Arial"/>
                <w:sz w:val="20"/>
                <w:szCs w:val="20"/>
              </w:rPr>
            </w:pPr>
            <w:r w:rsidRPr="001B212B">
              <w:rPr>
                <w:rFonts w:ascii="Arial" w:hAnsi="Arial" w:cs="Arial"/>
                <w:sz w:val="20"/>
                <w:szCs w:val="20"/>
              </w:rPr>
              <w:t>Denbighshire</w:t>
            </w:r>
          </w:p>
        </w:tc>
        <w:tc>
          <w:tcPr>
            <w:tcW w:w="286" w:type="dxa"/>
            <w:shd w:val="solid" w:color="FFFFFF" w:fill="auto"/>
          </w:tcPr>
          <w:p w:rsidR="001B212B" w:rsidRPr="001B212B" w:rsidRDefault="001B212B" w:rsidP="009A1FD2">
            <w:pPr>
              <w:autoSpaceDE w:val="0"/>
              <w:autoSpaceDN w:val="0"/>
              <w:adjustRightInd w:val="0"/>
              <w:jc w:val="right"/>
              <w:rPr>
                <w:rFonts w:ascii="Arial" w:hAnsi="Arial" w:cs="Arial"/>
                <w:color w:val="FF0000"/>
                <w:sz w:val="20"/>
                <w:szCs w:val="20"/>
                <w:highlight w:val="yellow"/>
              </w:rPr>
            </w:pPr>
          </w:p>
        </w:tc>
        <w:tc>
          <w:tcPr>
            <w:tcW w:w="142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143,514</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06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570"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142,817</w:t>
            </w:r>
          </w:p>
        </w:tc>
        <w:tc>
          <w:tcPr>
            <w:tcW w:w="286"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85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6"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569"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142,817</w:t>
            </w:r>
          </w:p>
        </w:tc>
        <w:tc>
          <w:tcPr>
            <w:tcW w:w="287" w:type="dxa"/>
            <w:shd w:val="solid" w:color="FFFFFF" w:fill="auto"/>
            <w:vAlign w:val="center"/>
          </w:tcPr>
          <w:p w:rsidR="001B212B" w:rsidRPr="001B212B" w:rsidRDefault="001B212B" w:rsidP="003525CA">
            <w:pPr>
              <w:jc w:val="right"/>
              <w:rPr>
                <w:rFonts w:ascii="Arial" w:hAnsi="Arial" w:cs="Arial"/>
                <w:b/>
                <w:sz w:val="20"/>
                <w:szCs w:val="20"/>
                <w:highlight w:val="yellow"/>
              </w:rPr>
            </w:pPr>
          </w:p>
        </w:tc>
        <w:tc>
          <w:tcPr>
            <w:tcW w:w="133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-0.5%</w:t>
            </w:r>
          </w:p>
        </w:tc>
        <w:tc>
          <w:tcPr>
            <w:tcW w:w="281"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572"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11</w:t>
            </w:r>
          </w:p>
        </w:tc>
        <w:tc>
          <w:tcPr>
            <w:tcW w:w="287"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348"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 xml:space="preserve"> 9,000 </w:t>
            </w:r>
          </w:p>
        </w:tc>
      </w:tr>
      <w:tr w:rsidR="001B212B" w:rsidRPr="001B212B" w:rsidTr="003525CA">
        <w:trPr>
          <w:trHeight w:val="259"/>
        </w:trPr>
        <w:tc>
          <w:tcPr>
            <w:tcW w:w="2455" w:type="dxa"/>
            <w:shd w:val="solid" w:color="FFFFFF" w:fill="auto"/>
            <w:vAlign w:val="center"/>
          </w:tcPr>
          <w:p w:rsidR="001B212B" w:rsidRPr="001B212B" w:rsidRDefault="001B212B" w:rsidP="003525CA">
            <w:pPr>
              <w:autoSpaceDE w:val="0"/>
              <w:autoSpaceDN w:val="0"/>
              <w:adjustRightInd w:val="0"/>
              <w:rPr>
                <w:rFonts w:ascii="Arial" w:hAnsi="Arial" w:cs="Arial"/>
                <w:sz w:val="20"/>
                <w:szCs w:val="20"/>
              </w:rPr>
            </w:pPr>
            <w:r w:rsidRPr="001B212B">
              <w:rPr>
                <w:rFonts w:ascii="Arial" w:hAnsi="Arial" w:cs="Arial"/>
                <w:sz w:val="20"/>
                <w:szCs w:val="20"/>
              </w:rPr>
              <w:t>Flintshire</w:t>
            </w:r>
          </w:p>
        </w:tc>
        <w:tc>
          <w:tcPr>
            <w:tcW w:w="286" w:type="dxa"/>
            <w:shd w:val="solid" w:color="FFFFFF" w:fill="auto"/>
          </w:tcPr>
          <w:p w:rsidR="001B212B" w:rsidRPr="001B212B" w:rsidRDefault="001B212B" w:rsidP="009A1FD2">
            <w:pPr>
              <w:autoSpaceDE w:val="0"/>
              <w:autoSpaceDN w:val="0"/>
              <w:adjustRightInd w:val="0"/>
              <w:jc w:val="right"/>
              <w:rPr>
                <w:rFonts w:ascii="Arial" w:hAnsi="Arial" w:cs="Arial"/>
                <w:color w:val="FF0000"/>
                <w:sz w:val="20"/>
                <w:szCs w:val="20"/>
                <w:highlight w:val="yellow"/>
              </w:rPr>
            </w:pPr>
          </w:p>
        </w:tc>
        <w:tc>
          <w:tcPr>
            <w:tcW w:w="142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189,714</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06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570"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187,599</w:t>
            </w:r>
          </w:p>
        </w:tc>
        <w:tc>
          <w:tcPr>
            <w:tcW w:w="286"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85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218</w:t>
            </w:r>
          </w:p>
        </w:tc>
        <w:tc>
          <w:tcPr>
            <w:tcW w:w="286"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569"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187,817</w:t>
            </w:r>
          </w:p>
        </w:tc>
        <w:tc>
          <w:tcPr>
            <w:tcW w:w="287" w:type="dxa"/>
            <w:shd w:val="solid" w:color="FFFFFF" w:fill="auto"/>
            <w:vAlign w:val="center"/>
          </w:tcPr>
          <w:p w:rsidR="001B212B" w:rsidRPr="001B212B" w:rsidRDefault="001B212B" w:rsidP="003525CA">
            <w:pPr>
              <w:jc w:val="right"/>
              <w:rPr>
                <w:rFonts w:ascii="Arial" w:hAnsi="Arial" w:cs="Arial"/>
                <w:b/>
                <w:sz w:val="20"/>
                <w:szCs w:val="20"/>
                <w:highlight w:val="yellow"/>
              </w:rPr>
            </w:pPr>
          </w:p>
        </w:tc>
        <w:tc>
          <w:tcPr>
            <w:tcW w:w="133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-1.0%</w:t>
            </w:r>
          </w:p>
        </w:tc>
        <w:tc>
          <w:tcPr>
            <w:tcW w:w="281"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572"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18</w:t>
            </w:r>
          </w:p>
        </w:tc>
        <w:tc>
          <w:tcPr>
            <w:tcW w:w="287"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348"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 xml:space="preserve"> 9,578 </w:t>
            </w:r>
          </w:p>
        </w:tc>
      </w:tr>
      <w:tr w:rsidR="001B212B" w:rsidRPr="001B212B" w:rsidTr="003525CA">
        <w:trPr>
          <w:trHeight w:val="259"/>
        </w:trPr>
        <w:tc>
          <w:tcPr>
            <w:tcW w:w="2455" w:type="dxa"/>
            <w:shd w:val="solid" w:color="FFFFFF" w:fill="auto"/>
            <w:vAlign w:val="center"/>
          </w:tcPr>
          <w:p w:rsidR="001B212B" w:rsidRPr="001B212B" w:rsidRDefault="001B212B" w:rsidP="003525CA">
            <w:pPr>
              <w:autoSpaceDE w:val="0"/>
              <w:autoSpaceDN w:val="0"/>
              <w:adjustRightInd w:val="0"/>
              <w:rPr>
                <w:rFonts w:ascii="Arial" w:hAnsi="Arial" w:cs="Arial"/>
                <w:sz w:val="20"/>
                <w:szCs w:val="20"/>
              </w:rPr>
            </w:pPr>
            <w:r w:rsidRPr="001B212B">
              <w:rPr>
                <w:rFonts w:ascii="Arial" w:hAnsi="Arial" w:cs="Arial"/>
                <w:sz w:val="20"/>
                <w:szCs w:val="20"/>
              </w:rPr>
              <w:t>Wrexham</w:t>
            </w:r>
          </w:p>
        </w:tc>
        <w:tc>
          <w:tcPr>
            <w:tcW w:w="286" w:type="dxa"/>
            <w:shd w:val="solid" w:color="FFFFFF" w:fill="auto"/>
          </w:tcPr>
          <w:p w:rsidR="001B212B" w:rsidRPr="001B212B" w:rsidRDefault="001B212B" w:rsidP="009A1FD2">
            <w:pPr>
              <w:autoSpaceDE w:val="0"/>
              <w:autoSpaceDN w:val="0"/>
              <w:adjustRightInd w:val="0"/>
              <w:jc w:val="right"/>
              <w:rPr>
                <w:rFonts w:ascii="Arial" w:hAnsi="Arial" w:cs="Arial"/>
                <w:color w:val="FF0000"/>
                <w:sz w:val="20"/>
                <w:szCs w:val="20"/>
                <w:highlight w:val="yellow"/>
              </w:rPr>
            </w:pPr>
          </w:p>
        </w:tc>
        <w:tc>
          <w:tcPr>
            <w:tcW w:w="142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175,138</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06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570"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174,084</w:t>
            </w:r>
          </w:p>
        </w:tc>
        <w:tc>
          <w:tcPr>
            <w:tcW w:w="286"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85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6"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569"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174,084</w:t>
            </w:r>
          </w:p>
        </w:tc>
        <w:tc>
          <w:tcPr>
            <w:tcW w:w="287" w:type="dxa"/>
            <w:shd w:val="solid" w:color="FFFFFF" w:fill="auto"/>
            <w:vAlign w:val="center"/>
          </w:tcPr>
          <w:p w:rsidR="001B212B" w:rsidRPr="001B212B" w:rsidRDefault="001B212B" w:rsidP="003525CA">
            <w:pPr>
              <w:jc w:val="right"/>
              <w:rPr>
                <w:rFonts w:ascii="Arial" w:hAnsi="Arial" w:cs="Arial"/>
                <w:b/>
                <w:sz w:val="20"/>
                <w:szCs w:val="20"/>
                <w:highlight w:val="yellow"/>
              </w:rPr>
            </w:pPr>
          </w:p>
        </w:tc>
        <w:tc>
          <w:tcPr>
            <w:tcW w:w="133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-0.6%</w:t>
            </w:r>
          </w:p>
        </w:tc>
        <w:tc>
          <w:tcPr>
            <w:tcW w:w="281"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572"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14</w:t>
            </w:r>
          </w:p>
        </w:tc>
        <w:tc>
          <w:tcPr>
            <w:tcW w:w="287"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348"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 xml:space="preserve"> 9,489 </w:t>
            </w:r>
          </w:p>
        </w:tc>
      </w:tr>
      <w:tr w:rsidR="001B212B" w:rsidRPr="001B212B" w:rsidTr="003525CA">
        <w:trPr>
          <w:trHeight w:val="259"/>
        </w:trPr>
        <w:tc>
          <w:tcPr>
            <w:tcW w:w="2455" w:type="dxa"/>
            <w:shd w:val="solid" w:color="FFFFFF" w:fill="auto"/>
            <w:vAlign w:val="center"/>
          </w:tcPr>
          <w:p w:rsidR="001B212B" w:rsidRPr="001B212B" w:rsidRDefault="001B212B" w:rsidP="003525CA">
            <w:pPr>
              <w:autoSpaceDE w:val="0"/>
              <w:autoSpaceDN w:val="0"/>
              <w:adjustRightInd w:val="0"/>
              <w:rPr>
                <w:rFonts w:ascii="Arial" w:hAnsi="Arial" w:cs="Arial"/>
                <w:sz w:val="20"/>
                <w:szCs w:val="20"/>
              </w:rPr>
            </w:pPr>
            <w:r w:rsidRPr="001B212B">
              <w:rPr>
                <w:rFonts w:ascii="Arial" w:hAnsi="Arial" w:cs="Arial"/>
                <w:sz w:val="20"/>
                <w:szCs w:val="20"/>
              </w:rPr>
              <w:t>Powys</w:t>
            </w:r>
          </w:p>
        </w:tc>
        <w:tc>
          <w:tcPr>
            <w:tcW w:w="286" w:type="dxa"/>
            <w:shd w:val="solid" w:color="FFFFFF" w:fill="auto"/>
          </w:tcPr>
          <w:p w:rsidR="001B212B" w:rsidRPr="001B212B" w:rsidRDefault="001B212B" w:rsidP="009A1FD2">
            <w:pPr>
              <w:autoSpaceDE w:val="0"/>
              <w:autoSpaceDN w:val="0"/>
              <w:adjustRightInd w:val="0"/>
              <w:jc w:val="right"/>
              <w:rPr>
                <w:rFonts w:ascii="Arial" w:hAnsi="Arial" w:cs="Arial"/>
                <w:color w:val="FF0000"/>
                <w:sz w:val="20"/>
                <w:szCs w:val="20"/>
                <w:highlight w:val="yellow"/>
              </w:rPr>
            </w:pPr>
          </w:p>
        </w:tc>
        <w:tc>
          <w:tcPr>
            <w:tcW w:w="142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174,503</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06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570"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171,779</w:t>
            </w:r>
          </w:p>
        </w:tc>
        <w:tc>
          <w:tcPr>
            <w:tcW w:w="286"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85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979</w:t>
            </w:r>
          </w:p>
        </w:tc>
        <w:tc>
          <w:tcPr>
            <w:tcW w:w="286"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569"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172,758</w:t>
            </w:r>
          </w:p>
        </w:tc>
        <w:tc>
          <w:tcPr>
            <w:tcW w:w="287" w:type="dxa"/>
            <w:shd w:val="solid" w:color="FFFFFF" w:fill="auto"/>
            <w:vAlign w:val="center"/>
          </w:tcPr>
          <w:p w:rsidR="001B212B" w:rsidRPr="001B212B" w:rsidRDefault="001B212B" w:rsidP="003525CA">
            <w:pPr>
              <w:jc w:val="right"/>
              <w:rPr>
                <w:rFonts w:ascii="Arial" w:hAnsi="Arial" w:cs="Arial"/>
                <w:b/>
                <w:sz w:val="20"/>
                <w:szCs w:val="20"/>
                <w:highlight w:val="yellow"/>
              </w:rPr>
            </w:pPr>
          </w:p>
        </w:tc>
        <w:tc>
          <w:tcPr>
            <w:tcW w:w="133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-1.0%</w:t>
            </w:r>
          </w:p>
        </w:tc>
        <w:tc>
          <w:tcPr>
            <w:tcW w:w="281"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572"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18</w:t>
            </w:r>
          </w:p>
        </w:tc>
        <w:tc>
          <w:tcPr>
            <w:tcW w:w="287"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348"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 xml:space="preserve"> 8,208 </w:t>
            </w:r>
          </w:p>
        </w:tc>
      </w:tr>
      <w:tr w:rsidR="001B212B" w:rsidRPr="001B212B" w:rsidTr="003525CA">
        <w:trPr>
          <w:trHeight w:val="259"/>
        </w:trPr>
        <w:tc>
          <w:tcPr>
            <w:tcW w:w="2455" w:type="dxa"/>
            <w:shd w:val="solid" w:color="FFFFFF" w:fill="auto"/>
            <w:vAlign w:val="center"/>
          </w:tcPr>
          <w:p w:rsidR="001B212B" w:rsidRPr="001B212B" w:rsidRDefault="001B212B" w:rsidP="003525CA">
            <w:pPr>
              <w:autoSpaceDE w:val="0"/>
              <w:autoSpaceDN w:val="0"/>
              <w:adjustRightInd w:val="0"/>
              <w:rPr>
                <w:rFonts w:ascii="Arial" w:hAnsi="Arial" w:cs="Arial"/>
                <w:sz w:val="20"/>
                <w:szCs w:val="20"/>
              </w:rPr>
            </w:pPr>
            <w:r w:rsidRPr="001B212B">
              <w:rPr>
                <w:rFonts w:ascii="Arial" w:hAnsi="Arial" w:cs="Arial"/>
                <w:sz w:val="20"/>
                <w:szCs w:val="20"/>
              </w:rPr>
              <w:t>Ceredigion</w:t>
            </w:r>
          </w:p>
        </w:tc>
        <w:tc>
          <w:tcPr>
            <w:tcW w:w="286" w:type="dxa"/>
            <w:shd w:val="solid" w:color="FFFFFF" w:fill="auto"/>
          </w:tcPr>
          <w:p w:rsidR="001B212B" w:rsidRPr="001B212B" w:rsidRDefault="001B212B" w:rsidP="009A1FD2">
            <w:pPr>
              <w:autoSpaceDE w:val="0"/>
              <w:autoSpaceDN w:val="0"/>
              <w:adjustRightInd w:val="0"/>
              <w:jc w:val="right"/>
              <w:rPr>
                <w:rFonts w:ascii="Arial" w:hAnsi="Arial" w:cs="Arial"/>
                <w:color w:val="FF0000"/>
                <w:sz w:val="20"/>
                <w:szCs w:val="20"/>
                <w:highlight w:val="yellow"/>
              </w:rPr>
            </w:pPr>
          </w:p>
        </w:tc>
        <w:tc>
          <w:tcPr>
            <w:tcW w:w="142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101,541</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06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570"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101,274</w:t>
            </w:r>
          </w:p>
        </w:tc>
        <w:tc>
          <w:tcPr>
            <w:tcW w:w="286"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85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6"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569"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101,274</w:t>
            </w:r>
          </w:p>
        </w:tc>
        <w:tc>
          <w:tcPr>
            <w:tcW w:w="287" w:type="dxa"/>
            <w:shd w:val="solid" w:color="FFFFFF" w:fill="auto"/>
            <w:vAlign w:val="center"/>
          </w:tcPr>
          <w:p w:rsidR="001B212B" w:rsidRPr="001B212B" w:rsidRDefault="001B212B" w:rsidP="003525CA">
            <w:pPr>
              <w:jc w:val="right"/>
              <w:rPr>
                <w:rFonts w:ascii="Arial" w:hAnsi="Arial" w:cs="Arial"/>
                <w:b/>
                <w:sz w:val="20"/>
                <w:szCs w:val="20"/>
                <w:highlight w:val="yellow"/>
              </w:rPr>
            </w:pPr>
          </w:p>
        </w:tc>
        <w:tc>
          <w:tcPr>
            <w:tcW w:w="133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-0.3%</w:t>
            </w:r>
          </w:p>
        </w:tc>
        <w:tc>
          <w:tcPr>
            <w:tcW w:w="281"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572"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8</w:t>
            </w:r>
          </w:p>
        </w:tc>
        <w:tc>
          <w:tcPr>
            <w:tcW w:w="287"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348"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 xml:space="preserve"> 5,001 </w:t>
            </w:r>
          </w:p>
        </w:tc>
      </w:tr>
      <w:tr w:rsidR="001B212B" w:rsidRPr="001B212B" w:rsidTr="003525CA">
        <w:trPr>
          <w:trHeight w:val="259"/>
        </w:trPr>
        <w:tc>
          <w:tcPr>
            <w:tcW w:w="2455" w:type="dxa"/>
            <w:shd w:val="solid" w:color="FFFFFF" w:fill="auto"/>
            <w:vAlign w:val="center"/>
          </w:tcPr>
          <w:p w:rsidR="001B212B" w:rsidRPr="001B212B" w:rsidRDefault="001B212B" w:rsidP="003525CA">
            <w:pPr>
              <w:autoSpaceDE w:val="0"/>
              <w:autoSpaceDN w:val="0"/>
              <w:adjustRightInd w:val="0"/>
              <w:rPr>
                <w:rFonts w:ascii="Arial" w:hAnsi="Arial" w:cs="Arial"/>
                <w:sz w:val="20"/>
                <w:szCs w:val="20"/>
              </w:rPr>
            </w:pPr>
            <w:r w:rsidRPr="001B212B">
              <w:rPr>
                <w:rFonts w:ascii="Arial" w:hAnsi="Arial" w:cs="Arial"/>
                <w:sz w:val="20"/>
                <w:szCs w:val="20"/>
              </w:rPr>
              <w:t>Pembrokeshire</w:t>
            </w:r>
          </w:p>
        </w:tc>
        <w:tc>
          <w:tcPr>
            <w:tcW w:w="286" w:type="dxa"/>
            <w:shd w:val="solid" w:color="FFFFFF" w:fill="auto"/>
          </w:tcPr>
          <w:p w:rsidR="001B212B" w:rsidRPr="001B212B" w:rsidRDefault="001B212B" w:rsidP="009A1FD2">
            <w:pPr>
              <w:autoSpaceDE w:val="0"/>
              <w:autoSpaceDN w:val="0"/>
              <w:adjustRightInd w:val="0"/>
              <w:jc w:val="right"/>
              <w:rPr>
                <w:rFonts w:ascii="Arial" w:hAnsi="Arial" w:cs="Arial"/>
                <w:color w:val="FF0000"/>
                <w:sz w:val="20"/>
                <w:szCs w:val="20"/>
                <w:highlight w:val="yellow"/>
              </w:rPr>
            </w:pPr>
          </w:p>
        </w:tc>
        <w:tc>
          <w:tcPr>
            <w:tcW w:w="142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162,247</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06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570"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161,656</w:t>
            </w:r>
          </w:p>
        </w:tc>
        <w:tc>
          <w:tcPr>
            <w:tcW w:w="286"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85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6"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569"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161,656</w:t>
            </w:r>
          </w:p>
        </w:tc>
        <w:tc>
          <w:tcPr>
            <w:tcW w:w="287" w:type="dxa"/>
            <w:shd w:val="solid" w:color="FFFFFF" w:fill="auto"/>
            <w:vAlign w:val="center"/>
          </w:tcPr>
          <w:p w:rsidR="001B212B" w:rsidRPr="001B212B" w:rsidRDefault="001B212B" w:rsidP="003525CA">
            <w:pPr>
              <w:jc w:val="right"/>
              <w:rPr>
                <w:rFonts w:ascii="Arial" w:hAnsi="Arial" w:cs="Arial"/>
                <w:b/>
                <w:sz w:val="20"/>
                <w:szCs w:val="20"/>
                <w:highlight w:val="yellow"/>
              </w:rPr>
            </w:pPr>
          </w:p>
        </w:tc>
        <w:tc>
          <w:tcPr>
            <w:tcW w:w="133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-0.4%</w:t>
            </w:r>
          </w:p>
        </w:tc>
        <w:tc>
          <w:tcPr>
            <w:tcW w:w="281"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572"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9</w:t>
            </w:r>
          </w:p>
        </w:tc>
        <w:tc>
          <w:tcPr>
            <w:tcW w:w="287"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348"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 xml:space="preserve"> 7,385 </w:t>
            </w:r>
          </w:p>
        </w:tc>
      </w:tr>
      <w:tr w:rsidR="001B212B" w:rsidRPr="001B212B" w:rsidTr="003525CA">
        <w:trPr>
          <w:trHeight w:val="259"/>
        </w:trPr>
        <w:tc>
          <w:tcPr>
            <w:tcW w:w="2455" w:type="dxa"/>
            <w:shd w:val="solid" w:color="FFFFFF" w:fill="auto"/>
            <w:vAlign w:val="center"/>
          </w:tcPr>
          <w:p w:rsidR="001B212B" w:rsidRPr="001B212B" w:rsidRDefault="001B212B" w:rsidP="003525CA">
            <w:pPr>
              <w:autoSpaceDE w:val="0"/>
              <w:autoSpaceDN w:val="0"/>
              <w:adjustRightInd w:val="0"/>
              <w:rPr>
                <w:rFonts w:ascii="Arial" w:hAnsi="Arial" w:cs="Arial"/>
                <w:sz w:val="20"/>
                <w:szCs w:val="20"/>
              </w:rPr>
            </w:pPr>
            <w:r w:rsidRPr="001B212B">
              <w:rPr>
                <w:rFonts w:ascii="Arial" w:hAnsi="Arial" w:cs="Arial"/>
                <w:sz w:val="20"/>
                <w:szCs w:val="20"/>
              </w:rPr>
              <w:t>Carmarthenshire</w:t>
            </w:r>
          </w:p>
        </w:tc>
        <w:tc>
          <w:tcPr>
            <w:tcW w:w="286" w:type="dxa"/>
            <w:shd w:val="solid" w:color="FFFFFF" w:fill="auto"/>
          </w:tcPr>
          <w:p w:rsidR="001B212B" w:rsidRPr="001B212B" w:rsidRDefault="001B212B" w:rsidP="009A1FD2">
            <w:pPr>
              <w:autoSpaceDE w:val="0"/>
              <w:autoSpaceDN w:val="0"/>
              <w:adjustRightInd w:val="0"/>
              <w:jc w:val="right"/>
              <w:rPr>
                <w:rFonts w:ascii="Arial" w:hAnsi="Arial" w:cs="Arial"/>
                <w:color w:val="FF0000"/>
                <w:sz w:val="20"/>
                <w:szCs w:val="20"/>
                <w:highlight w:val="yellow"/>
              </w:rPr>
            </w:pPr>
          </w:p>
        </w:tc>
        <w:tc>
          <w:tcPr>
            <w:tcW w:w="142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260,174</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06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570"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258,831</w:t>
            </w:r>
          </w:p>
        </w:tc>
        <w:tc>
          <w:tcPr>
            <w:tcW w:w="286"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85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6"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569"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258,831</w:t>
            </w:r>
          </w:p>
        </w:tc>
        <w:tc>
          <w:tcPr>
            <w:tcW w:w="287" w:type="dxa"/>
            <w:shd w:val="solid" w:color="FFFFFF" w:fill="auto"/>
            <w:vAlign w:val="center"/>
          </w:tcPr>
          <w:p w:rsidR="001B212B" w:rsidRPr="001B212B" w:rsidRDefault="001B212B" w:rsidP="003525CA">
            <w:pPr>
              <w:jc w:val="right"/>
              <w:rPr>
                <w:rFonts w:ascii="Arial" w:hAnsi="Arial" w:cs="Arial"/>
                <w:b/>
                <w:sz w:val="20"/>
                <w:szCs w:val="20"/>
                <w:highlight w:val="yellow"/>
              </w:rPr>
            </w:pPr>
          </w:p>
        </w:tc>
        <w:tc>
          <w:tcPr>
            <w:tcW w:w="133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-0.5%</w:t>
            </w:r>
          </w:p>
        </w:tc>
        <w:tc>
          <w:tcPr>
            <w:tcW w:w="281"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572"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13</w:t>
            </w:r>
          </w:p>
        </w:tc>
        <w:tc>
          <w:tcPr>
            <w:tcW w:w="287"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348"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 xml:space="preserve"> 14,169 </w:t>
            </w:r>
          </w:p>
        </w:tc>
      </w:tr>
      <w:tr w:rsidR="001B212B" w:rsidRPr="001B212B" w:rsidTr="003525CA">
        <w:trPr>
          <w:trHeight w:val="259"/>
        </w:trPr>
        <w:tc>
          <w:tcPr>
            <w:tcW w:w="2455" w:type="dxa"/>
            <w:shd w:val="solid" w:color="FFFFFF" w:fill="auto"/>
            <w:vAlign w:val="center"/>
          </w:tcPr>
          <w:p w:rsidR="001B212B" w:rsidRPr="001B212B" w:rsidRDefault="001B212B" w:rsidP="003525CA">
            <w:pPr>
              <w:autoSpaceDE w:val="0"/>
              <w:autoSpaceDN w:val="0"/>
              <w:adjustRightInd w:val="0"/>
              <w:rPr>
                <w:rFonts w:ascii="Arial" w:hAnsi="Arial" w:cs="Arial"/>
                <w:sz w:val="20"/>
                <w:szCs w:val="20"/>
              </w:rPr>
            </w:pPr>
            <w:r w:rsidRPr="001B212B">
              <w:rPr>
                <w:rFonts w:ascii="Arial" w:hAnsi="Arial" w:cs="Arial"/>
                <w:sz w:val="20"/>
                <w:szCs w:val="20"/>
              </w:rPr>
              <w:t>Swansea</w:t>
            </w:r>
          </w:p>
        </w:tc>
        <w:tc>
          <w:tcPr>
            <w:tcW w:w="286" w:type="dxa"/>
            <w:shd w:val="solid" w:color="FFFFFF" w:fill="auto"/>
          </w:tcPr>
          <w:p w:rsidR="001B212B" w:rsidRPr="001B212B" w:rsidRDefault="001B212B" w:rsidP="009A1FD2">
            <w:pPr>
              <w:autoSpaceDE w:val="0"/>
              <w:autoSpaceDN w:val="0"/>
              <w:adjustRightInd w:val="0"/>
              <w:jc w:val="right"/>
              <w:rPr>
                <w:rFonts w:ascii="Arial" w:hAnsi="Arial" w:cs="Arial"/>
                <w:color w:val="FF0000"/>
                <w:sz w:val="20"/>
                <w:szCs w:val="20"/>
                <w:highlight w:val="yellow"/>
              </w:rPr>
            </w:pPr>
          </w:p>
        </w:tc>
        <w:tc>
          <w:tcPr>
            <w:tcW w:w="142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319,970</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06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570"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319,988</w:t>
            </w:r>
          </w:p>
        </w:tc>
        <w:tc>
          <w:tcPr>
            <w:tcW w:w="286"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85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6"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569"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319,988</w:t>
            </w:r>
          </w:p>
        </w:tc>
        <w:tc>
          <w:tcPr>
            <w:tcW w:w="287" w:type="dxa"/>
            <w:shd w:val="solid" w:color="FFFFFF" w:fill="auto"/>
            <w:vAlign w:val="center"/>
          </w:tcPr>
          <w:p w:rsidR="001B212B" w:rsidRPr="001B212B" w:rsidRDefault="001B212B" w:rsidP="003525CA">
            <w:pPr>
              <w:jc w:val="right"/>
              <w:rPr>
                <w:rFonts w:ascii="Arial" w:hAnsi="Arial" w:cs="Arial"/>
                <w:b/>
                <w:sz w:val="20"/>
                <w:szCs w:val="20"/>
                <w:highlight w:val="yellow"/>
              </w:rPr>
            </w:pPr>
          </w:p>
        </w:tc>
        <w:tc>
          <w:tcPr>
            <w:tcW w:w="133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0.0%</w:t>
            </w:r>
          </w:p>
        </w:tc>
        <w:tc>
          <w:tcPr>
            <w:tcW w:w="281"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572"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7</w:t>
            </w:r>
          </w:p>
        </w:tc>
        <w:tc>
          <w:tcPr>
            <w:tcW w:w="287"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348"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 xml:space="preserve"> 19,081 </w:t>
            </w:r>
          </w:p>
        </w:tc>
      </w:tr>
      <w:tr w:rsidR="001B212B" w:rsidRPr="001B212B" w:rsidTr="003525CA">
        <w:trPr>
          <w:trHeight w:val="259"/>
        </w:trPr>
        <w:tc>
          <w:tcPr>
            <w:tcW w:w="2455" w:type="dxa"/>
            <w:shd w:val="solid" w:color="FFFFFF" w:fill="auto"/>
            <w:vAlign w:val="center"/>
          </w:tcPr>
          <w:p w:rsidR="001B212B" w:rsidRPr="001B212B" w:rsidRDefault="001B212B" w:rsidP="003525CA">
            <w:pPr>
              <w:autoSpaceDE w:val="0"/>
              <w:autoSpaceDN w:val="0"/>
              <w:adjustRightInd w:val="0"/>
              <w:rPr>
                <w:rFonts w:ascii="Arial" w:hAnsi="Arial" w:cs="Arial"/>
                <w:sz w:val="20"/>
                <w:szCs w:val="20"/>
              </w:rPr>
            </w:pPr>
            <w:r w:rsidRPr="001B212B">
              <w:rPr>
                <w:rFonts w:ascii="Arial" w:hAnsi="Arial" w:cs="Arial"/>
                <w:sz w:val="20"/>
                <w:szCs w:val="20"/>
              </w:rPr>
              <w:t>Neath Port Talbot</w:t>
            </w:r>
          </w:p>
        </w:tc>
        <w:tc>
          <w:tcPr>
            <w:tcW w:w="286" w:type="dxa"/>
            <w:shd w:val="solid" w:color="FFFFFF" w:fill="auto"/>
          </w:tcPr>
          <w:p w:rsidR="001B212B" w:rsidRPr="001B212B" w:rsidRDefault="001B212B" w:rsidP="009A1FD2">
            <w:pPr>
              <w:autoSpaceDE w:val="0"/>
              <w:autoSpaceDN w:val="0"/>
              <w:adjustRightInd w:val="0"/>
              <w:jc w:val="right"/>
              <w:rPr>
                <w:rFonts w:ascii="Arial" w:hAnsi="Arial" w:cs="Arial"/>
                <w:color w:val="FF0000"/>
                <w:sz w:val="20"/>
                <w:szCs w:val="20"/>
                <w:highlight w:val="yellow"/>
              </w:rPr>
            </w:pPr>
          </w:p>
        </w:tc>
        <w:tc>
          <w:tcPr>
            <w:tcW w:w="142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212,919</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p>
        </w:tc>
        <w:tc>
          <w:tcPr>
            <w:tcW w:w="106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570"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213,406</w:t>
            </w:r>
          </w:p>
        </w:tc>
        <w:tc>
          <w:tcPr>
            <w:tcW w:w="286"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p>
        </w:tc>
        <w:tc>
          <w:tcPr>
            <w:tcW w:w="85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6"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569"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213,406</w:t>
            </w:r>
          </w:p>
        </w:tc>
        <w:tc>
          <w:tcPr>
            <w:tcW w:w="287" w:type="dxa"/>
            <w:shd w:val="solid" w:color="FFFFFF" w:fill="auto"/>
            <w:vAlign w:val="center"/>
          </w:tcPr>
          <w:p w:rsidR="001B212B" w:rsidRPr="001B212B" w:rsidRDefault="001B212B" w:rsidP="003525CA">
            <w:pPr>
              <w:jc w:val="right"/>
              <w:rPr>
                <w:rFonts w:ascii="Arial" w:hAnsi="Arial" w:cs="Arial"/>
                <w:b/>
                <w:sz w:val="20"/>
                <w:szCs w:val="20"/>
                <w:highlight w:val="yellow"/>
              </w:rPr>
            </w:pPr>
          </w:p>
        </w:tc>
        <w:tc>
          <w:tcPr>
            <w:tcW w:w="133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0.2%</w:t>
            </w:r>
          </w:p>
        </w:tc>
        <w:tc>
          <w:tcPr>
            <w:tcW w:w="281"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572"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4</w:t>
            </w:r>
          </w:p>
        </w:tc>
        <w:tc>
          <w:tcPr>
            <w:tcW w:w="287"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348"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 xml:space="preserve"> 16,381 </w:t>
            </w:r>
          </w:p>
        </w:tc>
      </w:tr>
      <w:tr w:rsidR="001B212B" w:rsidRPr="001B212B" w:rsidTr="003525CA">
        <w:trPr>
          <w:trHeight w:val="259"/>
        </w:trPr>
        <w:tc>
          <w:tcPr>
            <w:tcW w:w="2455" w:type="dxa"/>
            <w:shd w:val="solid" w:color="FFFFFF" w:fill="auto"/>
            <w:vAlign w:val="center"/>
          </w:tcPr>
          <w:p w:rsidR="001B212B" w:rsidRPr="001B212B" w:rsidRDefault="001B212B" w:rsidP="003525CA">
            <w:pPr>
              <w:autoSpaceDE w:val="0"/>
              <w:autoSpaceDN w:val="0"/>
              <w:adjustRightInd w:val="0"/>
              <w:rPr>
                <w:rFonts w:ascii="Arial" w:hAnsi="Arial" w:cs="Arial"/>
                <w:sz w:val="20"/>
                <w:szCs w:val="20"/>
              </w:rPr>
            </w:pPr>
            <w:r w:rsidRPr="001B212B">
              <w:rPr>
                <w:rFonts w:ascii="Arial" w:hAnsi="Arial" w:cs="Arial"/>
                <w:sz w:val="20"/>
                <w:szCs w:val="20"/>
              </w:rPr>
              <w:t>Bridgend</w:t>
            </w:r>
          </w:p>
        </w:tc>
        <w:tc>
          <w:tcPr>
            <w:tcW w:w="286" w:type="dxa"/>
            <w:shd w:val="solid" w:color="FFFFFF" w:fill="auto"/>
          </w:tcPr>
          <w:p w:rsidR="001B212B" w:rsidRPr="001B212B" w:rsidRDefault="001B212B" w:rsidP="009A1FD2">
            <w:pPr>
              <w:autoSpaceDE w:val="0"/>
              <w:autoSpaceDN w:val="0"/>
              <w:adjustRightInd w:val="0"/>
              <w:jc w:val="right"/>
              <w:rPr>
                <w:rFonts w:ascii="Arial" w:hAnsi="Arial" w:cs="Arial"/>
                <w:color w:val="FF0000"/>
                <w:sz w:val="20"/>
                <w:szCs w:val="20"/>
                <w:highlight w:val="yellow"/>
              </w:rPr>
            </w:pPr>
          </w:p>
        </w:tc>
        <w:tc>
          <w:tcPr>
            <w:tcW w:w="142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192,141</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p>
        </w:tc>
        <w:tc>
          <w:tcPr>
            <w:tcW w:w="106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570"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190,920</w:t>
            </w:r>
          </w:p>
        </w:tc>
        <w:tc>
          <w:tcPr>
            <w:tcW w:w="286"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p>
        </w:tc>
        <w:tc>
          <w:tcPr>
            <w:tcW w:w="85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6"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569"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190,920</w:t>
            </w:r>
          </w:p>
        </w:tc>
        <w:tc>
          <w:tcPr>
            <w:tcW w:w="287" w:type="dxa"/>
            <w:shd w:val="solid" w:color="FFFFFF" w:fill="auto"/>
            <w:vAlign w:val="center"/>
          </w:tcPr>
          <w:p w:rsidR="001B212B" w:rsidRPr="001B212B" w:rsidRDefault="001B212B" w:rsidP="003525CA">
            <w:pPr>
              <w:jc w:val="right"/>
              <w:rPr>
                <w:rFonts w:ascii="Arial" w:hAnsi="Arial" w:cs="Arial"/>
                <w:b/>
                <w:sz w:val="20"/>
                <w:szCs w:val="20"/>
                <w:highlight w:val="yellow"/>
              </w:rPr>
            </w:pPr>
          </w:p>
        </w:tc>
        <w:tc>
          <w:tcPr>
            <w:tcW w:w="133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-0.6%</w:t>
            </w:r>
          </w:p>
        </w:tc>
        <w:tc>
          <w:tcPr>
            <w:tcW w:w="281"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572"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15</w:t>
            </w:r>
          </w:p>
        </w:tc>
        <w:tc>
          <w:tcPr>
            <w:tcW w:w="287"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348"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 xml:space="preserve"> 13,080 </w:t>
            </w:r>
          </w:p>
        </w:tc>
      </w:tr>
      <w:tr w:rsidR="001B212B" w:rsidRPr="001B212B" w:rsidTr="003525CA">
        <w:trPr>
          <w:trHeight w:val="259"/>
        </w:trPr>
        <w:tc>
          <w:tcPr>
            <w:tcW w:w="2455" w:type="dxa"/>
            <w:shd w:val="solid" w:color="FFFFFF" w:fill="auto"/>
            <w:vAlign w:val="center"/>
          </w:tcPr>
          <w:p w:rsidR="001B212B" w:rsidRPr="001B212B" w:rsidRDefault="001B212B" w:rsidP="003525CA">
            <w:pPr>
              <w:autoSpaceDE w:val="0"/>
              <w:autoSpaceDN w:val="0"/>
              <w:adjustRightInd w:val="0"/>
              <w:rPr>
                <w:rFonts w:ascii="Arial" w:hAnsi="Arial" w:cs="Arial"/>
                <w:sz w:val="20"/>
                <w:szCs w:val="20"/>
              </w:rPr>
            </w:pPr>
            <w:r w:rsidRPr="001B212B">
              <w:rPr>
                <w:rFonts w:ascii="Arial" w:hAnsi="Arial" w:cs="Arial"/>
                <w:sz w:val="20"/>
                <w:szCs w:val="20"/>
              </w:rPr>
              <w:t>The Vale Of Glamorgan</w:t>
            </w:r>
          </w:p>
        </w:tc>
        <w:tc>
          <w:tcPr>
            <w:tcW w:w="286" w:type="dxa"/>
            <w:shd w:val="solid" w:color="FFFFFF" w:fill="auto"/>
          </w:tcPr>
          <w:p w:rsidR="001B212B" w:rsidRPr="001B212B" w:rsidRDefault="001B212B" w:rsidP="009A1FD2">
            <w:pPr>
              <w:autoSpaceDE w:val="0"/>
              <w:autoSpaceDN w:val="0"/>
              <w:adjustRightInd w:val="0"/>
              <w:jc w:val="right"/>
              <w:rPr>
                <w:rFonts w:ascii="Arial" w:hAnsi="Arial" w:cs="Arial"/>
                <w:color w:val="FF0000"/>
                <w:sz w:val="20"/>
                <w:szCs w:val="20"/>
                <w:highlight w:val="yellow"/>
              </w:rPr>
            </w:pPr>
          </w:p>
        </w:tc>
        <w:tc>
          <w:tcPr>
            <w:tcW w:w="142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152,959</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p>
        </w:tc>
        <w:tc>
          <w:tcPr>
            <w:tcW w:w="106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570"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151,923</w:t>
            </w:r>
          </w:p>
        </w:tc>
        <w:tc>
          <w:tcPr>
            <w:tcW w:w="286"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p>
        </w:tc>
        <w:tc>
          <w:tcPr>
            <w:tcW w:w="85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6"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569"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151,923</w:t>
            </w:r>
          </w:p>
        </w:tc>
        <w:tc>
          <w:tcPr>
            <w:tcW w:w="287" w:type="dxa"/>
            <w:shd w:val="solid" w:color="FFFFFF" w:fill="auto"/>
            <w:vAlign w:val="center"/>
          </w:tcPr>
          <w:p w:rsidR="001B212B" w:rsidRPr="001B212B" w:rsidRDefault="001B212B" w:rsidP="003525CA">
            <w:pPr>
              <w:jc w:val="right"/>
              <w:rPr>
                <w:rFonts w:ascii="Arial" w:hAnsi="Arial" w:cs="Arial"/>
                <w:b/>
                <w:sz w:val="20"/>
                <w:szCs w:val="20"/>
                <w:highlight w:val="yellow"/>
              </w:rPr>
            </w:pPr>
          </w:p>
        </w:tc>
        <w:tc>
          <w:tcPr>
            <w:tcW w:w="133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-0.7%</w:t>
            </w:r>
          </w:p>
        </w:tc>
        <w:tc>
          <w:tcPr>
            <w:tcW w:w="281"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572"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16</w:t>
            </w:r>
          </w:p>
        </w:tc>
        <w:tc>
          <w:tcPr>
            <w:tcW w:w="287"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348"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 xml:space="preserve"> 9,049 </w:t>
            </w:r>
          </w:p>
        </w:tc>
      </w:tr>
      <w:tr w:rsidR="001B212B" w:rsidRPr="001B212B" w:rsidTr="003525CA">
        <w:trPr>
          <w:trHeight w:val="259"/>
        </w:trPr>
        <w:tc>
          <w:tcPr>
            <w:tcW w:w="2455" w:type="dxa"/>
            <w:shd w:val="solid" w:color="FFFFFF" w:fill="auto"/>
            <w:vAlign w:val="center"/>
          </w:tcPr>
          <w:p w:rsidR="001B212B" w:rsidRPr="001B212B" w:rsidRDefault="001B212B" w:rsidP="003525CA">
            <w:pPr>
              <w:autoSpaceDE w:val="0"/>
              <w:autoSpaceDN w:val="0"/>
              <w:adjustRightInd w:val="0"/>
              <w:rPr>
                <w:rFonts w:ascii="Arial" w:hAnsi="Arial" w:cs="Arial"/>
                <w:sz w:val="20"/>
                <w:szCs w:val="20"/>
              </w:rPr>
            </w:pPr>
            <w:r w:rsidRPr="001B212B">
              <w:rPr>
                <w:rFonts w:ascii="Arial" w:hAnsi="Arial" w:cs="Arial"/>
                <w:sz w:val="20"/>
                <w:szCs w:val="20"/>
              </w:rPr>
              <w:t>Rhondda Cynon Taf</w:t>
            </w:r>
          </w:p>
        </w:tc>
        <w:tc>
          <w:tcPr>
            <w:tcW w:w="286" w:type="dxa"/>
            <w:shd w:val="solid" w:color="FFFFFF" w:fill="auto"/>
          </w:tcPr>
          <w:p w:rsidR="001B212B" w:rsidRPr="001B212B" w:rsidRDefault="001B212B" w:rsidP="009A1FD2">
            <w:pPr>
              <w:autoSpaceDE w:val="0"/>
              <w:autoSpaceDN w:val="0"/>
              <w:adjustRightInd w:val="0"/>
              <w:jc w:val="right"/>
              <w:rPr>
                <w:rFonts w:ascii="Arial" w:hAnsi="Arial" w:cs="Arial"/>
                <w:color w:val="FF0000"/>
                <w:sz w:val="20"/>
                <w:szCs w:val="20"/>
                <w:highlight w:val="yellow"/>
              </w:rPr>
            </w:pPr>
          </w:p>
        </w:tc>
        <w:tc>
          <w:tcPr>
            <w:tcW w:w="142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365,177</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06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570"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366,380</w:t>
            </w:r>
          </w:p>
        </w:tc>
        <w:tc>
          <w:tcPr>
            <w:tcW w:w="286"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85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6"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569"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366,380</w:t>
            </w:r>
          </w:p>
        </w:tc>
        <w:tc>
          <w:tcPr>
            <w:tcW w:w="287" w:type="dxa"/>
            <w:shd w:val="solid" w:color="FFFFFF" w:fill="auto"/>
            <w:vAlign w:val="center"/>
          </w:tcPr>
          <w:p w:rsidR="001B212B" w:rsidRPr="001B212B" w:rsidRDefault="001B212B" w:rsidP="003525CA">
            <w:pPr>
              <w:jc w:val="right"/>
              <w:rPr>
                <w:rFonts w:ascii="Arial" w:hAnsi="Arial" w:cs="Arial"/>
                <w:b/>
                <w:sz w:val="20"/>
                <w:szCs w:val="20"/>
                <w:highlight w:val="yellow"/>
              </w:rPr>
            </w:pPr>
          </w:p>
        </w:tc>
        <w:tc>
          <w:tcPr>
            <w:tcW w:w="133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0.3%</w:t>
            </w:r>
          </w:p>
        </w:tc>
        <w:tc>
          <w:tcPr>
            <w:tcW w:w="281"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572"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3</w:t>
            </w:r>
          </w:p>
        </w:tc>
        <w:tc>
          <w:tcPr>
            <w:tcW w:w="287"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348"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 xml:space="preserve"> 21,681 </w:t>
            </w:r>
          </w:p>
        </w:tc>
      </w:tr>
      <w:tr w:rsidR="001B212B" w:rsidRPr="001B212B" w:rsidTr="003525CA">
        <w:trPr>
          <w:trHeight w:val="259"/>
        </w:trPr>
        <w:tc>
          <w:tcPr>
            <w:tcW w:w="2455" w:type="dxa"/>
            <w:shd w:val="solid" w:color="FFFFFF" w:fill="auto"/>
            <w:vAlign w:val="center"/>
          </w:tcPr>
          <w:p w:rsidR="001B212B" w:rsidRPr="001B212B" w:rsidRDefault="001B212B" w:rsidP="003525CA">
            <w:pPr>
              <w:autoSpaceDE w:val="0"/>
              <w:autoSpaceDN w:val="0"/>
              <w:adjustRightInd w:val="0"/>
              <w:rPr>
                <w:rFonts w:ascii="Arial" w:hAnsi="Arial" w:cs="Arial"/>
                <w:sz w:val="20"/>
                <w:szCs w:val="20"/>
              </w:rPr>
            </w:pPr>
            <w:r w:rsidRPr="001B212B">
              <w:rPr>
                <w:rFonts w:ascii="Arial" w:hAnsi="Arial" w:cs="Arial"/>
                <w:sz w:val="20"/>
                <w:szCs w:val="20"/>
              </w:rPr>
              <w:t>Merthyr Tydfil</w:t>
            </w:r>
          </w:p>
        </w:tc>
        <w:tc>
          <w:tcPr>
            <w:tcW w:w="286" w:type="dxa"/>
            <w:shd w:val="solid" w:color="FFFFFF" w:fill="auto"/>
          </w:tcPr>
          <w:p w:rsidR="001B212B" w:rsidRPr="001B212B" w:rsidRDefault="001B212B" w:rsidP="009A1FD2">
            <w:pPr>
              <w:autoSpaceDE w:val="0"/>
              <w:autoSpaceDN w:val="0"/>
              <w:adjustRightInd w:val="0"/>
              <w:jc w:val="right"/>
              <w:rPr>
                <w:rFonts w:ascii="Arial" w:hAnsi="Arial" w:cs="Arial"/>
                <w:color w:val="FF0000"/>
                <w:sz w:val="20"/>
                <w:szCs w:val="20"/>
                <w:highlight w:val="yellow"/>
              </w:rPr>
            </w:pPr>
          </w:p>
        </w:tc>
        <w:tc>
          <w:tcPr>
            <w:tcW w:w="142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90,549</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06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570"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90,852</w:t>
            </w:r>
          </w:p>
        </w:tc>
        <w:tc>
          <w:tcPr>
            <w:tcW w:w="286"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85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6"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569"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90,852</w:t>
            </w:r>
          </w:p>
        </w:tc>
        <w:tc>
          <w:tcPr>
            <w:tcW w:w="287" w:type="dxa"/>
            <w:shd w:val="solid" w:color="FFFFFF" w:fill="auto"/>
            <w:vAlign w:val="center"/>
          </w:tcPr>
          <w:p w:rsidR="001B212B" w:rsidRPr="001B212B" w:rsidRDefault="001B212B" w:rsidP="003525CA">
            <w:pPr>
              <w:jc w:val="right"/>
              <w:rPr>
                <w:rFonts w:ascii="Arial" w:hAnsi="Arial" w:cs="Arial"/>
                <w:b/>
                <w:sz w:val="20"/>
                <w:szCs w:val="20"/>
                <w:highlight w:val="yellow"/>
              </w:rPr>
            </w:pPr>
          </w:p>
        </w:tc>
        <w:tc>
          <w:tcPr>
            <w:tcW w:w="133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0.3%</w:t>
            </w:r>
          </w:p>
        </w:tc>
        <w:tc>
          <w:tcPr>
            <w:tcW w:w="281"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572"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2</w:t>
            </w:r>
          </w:p>
        </w:tc>
        <w:tc>
          <w:tcPr>
            <w:tcW w:w="287"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348"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 xml:space="preserve"> 5,690 </w:t>
            </w:r>
          </w:p>
        </w:tc>
      </w:tr>
      <w:tr w:rsidR="001B212B" w:rsidRPr="001B212B" w:rsidTr="003525CA">
        <w:trPr>
          <w:trHeight w:val="259"/>
        </w:trPr>
        <w:tc>
          <w:tcPr>
            <w:tcW w:w="2455" w:type="dxa"/>
            <w:shd w:val="solid" w:color="FFFFFF" w:fill="auto"/>
            <w:vAlign w:val="center"/>
          </w:tcPr>
          <w:p w:rsidR="001B212B" w:rsidRPr="001B212B" w:rsidRDefault="001B212B" w:rsidP="003525CA">
            <w:pPr>
              <w:autoSpaceDE w:val="0"/>
              <w:autoSpaceDN w:val="0"/>
              <w:adjustRightInd w:val="0"/>
              <w:rPr>
                <w:rFonts w:ascii="Arial" w:hAnsi="Arial" w:cs="Arial"/>
                <w:sz w:val="20"/>
                <w:szCs w:val="20"/>
              </w:rPr>
            </w:pPr>
            <w:r w:rsidRPr="001B212B">
              <w:rPr>
                <w:rFonts w:ascii="Arial" w:hAnsi="Arial" w:cs="Arial"/>
                <w:sz w:val="20"/>
                <w:szCs w:val="20"/>
              </w:rPr>
              <w:t>Caerphilly</w:t>
            </w:r>
          </w:p>
        </w:tc>
        <w:tc>
          <w:tcPr>
            <w:tcW w:w="286" w:type="dxa"/>
            <w:shd w:val="solid" w:color="FFFFFF" w:fill="auto"/>
          </w:tcPr>
          <w:p w:rsidR="001B212B" w:rsidRPr="001B212B" w:rsidRDefault="001B212B" w:rsidP="009A1FD2">
            <w:pPr>
              <w:autoSpaceDE w:val="0"/>
              <w:autoSpaceDN w:val="0"/>
              <w:adjustRightInd w:val="0"/>
              <w:jc w:val="right"/>
              <w:rPr>
                <w:rFonts w:ascii="Arial" w:hAnsi="Arial" w:cs="Arial"/>
                <w:color w:val="FF0000"/>
                <w:sz w:val="20"/>
                <w:szCs w:val="20"/>
                <w:highlight w:val="yellow"/>
              </w:rPr>
            </w:pPr>
          </w:p>
        </w:tc>
        <w:tc>
          <w:tcPr>
            <w:tcW w:w="142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267,986</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06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570"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266,680</w:t>
            </w:r>
          </w:p>
        </w:tc>
        <w:tc>
          <w:tcPr>
            <w:tcW w:w="286"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85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6"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569"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266,680</w:t>
            </w:r>
          </w:p>
        </w:tc>
        <w:tc>
          <w:tcPr>
            <w:tcW w:w="287" w:type="dxa"/>
            <w:shd w:val="solid" w:color="FFFFFF" w:fill="auto"/>
            <w:vAlign w:val="center"/>
          </w:tcPr>
          <w:p w:rsidR="001B212B" w:rsidRPr="001B212B" w:rsidRDefault="001B212B" w:rsidP="003525CA">
            <w:pPr>
              <w:jc w:val="right"/>
              <w:rPr>
                <w:rFonts w:ascii="Arial" w:hAnsi="Arial" w:cs="Arial"/>
                <w:b/>
                <w:sz w:val="20"/>
                <w:szCs w:val="20"/>
                <w:highlight w:val="yellow"/>
              </w:rPr>
            </w:pPr>
          </w:p>
        </w:tc>
        <w:tc>
          <w:tcPr>
            <w:tcW w:w="133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-0.5%</w:t>
            </w:r>
          </w:p>
        </w:tc>
        <w:tc>
          <w:tcPr>
            <w:tcW w:w="281"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572"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12</w:t>
            </w:r>
          </w:p>
        </w:tc>
        <w:tc>
          <w:tcPr>
            <w:tcW w:w="287"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348"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 xml:space="preserve"> 13,021 </w:t>
            </w:r>
          </w:p>
        </w:tc>
      </w:tr>
      <w:tr w:rsidR="001B212B" w:rsidRPr="001B212B" w:rsidTr="003525CA">
        <w:trPr>
          <w:trHeight w:val="259"/>
        </w:trPr>
        <w:tc>
          <w:tcPr>
            <w:tcW w:w="2455" w:type="dxa"/>
            <w:shd w:val="solid" w:color="FFFFFF" w:fill="auto"/>
            <w:vAlign w:val="center"/>
          </w:tcPr>
          <w:p w:rsidR="001B212B" w:rsidRPr="001B212B" w:rsidRDefault="001B212B" w:rsidP="003525CA">
            <w:pPr>
              <w:autoSpaceDE w:val="0"/>
              <w:autoSpaceDN w:val="0"/>
              <w:adjustRightInd w:val="0"/>
              <w:rPr>
                <w:rFonts w:ascii="Arial" w:hAnsi="Arial" w:cs="Arial"/>
                <w:sz w:val="20"/>
                <w:szCs w:val="20"/>
              </w:rPr>
            </w:pPr>
            <w:r w:rsidRPr="001B212B">
              <w:rPr>
                <w:rFonts w:ascii="Arial" w:hAnsi="Arial" w:cs="Arial"/>
                <w:sz w:val="20"/>
                <w:szCs w:val="20"/>
              </w:rPr>
              <w:t>Blaenau Gwent</w:t>
            </w:r>
          </w:p>
        </w:tc>
        <w:tc>
          <w:tcPr>
            <w:tcW w:w="286" w:type="dxa"/>
            <w:shd w:val="solid" w:color="FFFFFF" w:fill="auto"/>
          </w:tcPr>
          <w:p w:rsidR="001B212B" w:rsidRPr="001B212B" w:rsidRDefault="001B212B" w:rsidP="009A1FD2">
            <w:pPr>
              <w:autoSpaceDE w:val="0"/>
              <w:autoSpaceDN w:val="0"/>
              <w:adjustRightInd w:val="0"/>
              <w:jc w:val="right"/>
              <w:rPr>
                <w:rFonts w:ascii="Arial" w:hAnsi="Arial" w:cs="Arial"/>
                <w:color w:val="FF0000"/>
                <w:sz w:val="20"/>
                <w:szCs w:val="20"/>
                <w:highlight w:val="yellow"/>
              </w:rPr>
            </w:pPr>
          </w:p>
        </w:tc>
        <w:tc>
          <w:tcPr>
            <w:tcW w:w="142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110,627</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06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717</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570"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110,099</w:t>
            </w:r>
          </w:p>
        </w:tc>
        <w:tc>
          <w:tcPr>
            <w:tcW w:w="286"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85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6"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569"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110,099</w:t>
            </w:r>
          </w:p>
        </w:tc>
        <w:tc>
          <w:tcPr>
            <w:tcW w:w="287" w:type="dxa"/>
            <w:shd w:val="solid" w:color="FFFFFF" w:fill="auto"/>
            <w:vAlign w:val="center"/>
          </w:tcPr>
          <w:p w:rsidR="001B212B" w:rsidRPr="001B212B" w:rsidRDefault="001B212B" w:rsidP="003525CA">
            <w:pPr>
              <w:jc w:val="right"/>
              <w:rPr>
                <w:rFonts w:ascii="Arial" w:hAnsi="Arial" w:cs="Arial"/>
                <w:b/>
                <w:sz w:val="20"/>
                <w:szCs w:val="20"/>
                <w:highlight w:val="yellow"/>
              </w:rPr>
            </w:pPr>
          </w:p>
        </w:tc>
        <w:tc>
          <w:tcPr>
            <w:tcW w:w="133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-0.5%</w:t>
            </w:r>
          </w:p>
        </w:tc>
        <w:tc>
          <w:tcPr>
            <w:tcW w:w="281"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572"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10</w:t>
            </w:r>
          </w:p>
        </w:tc>
        <w:tc>
          <w:tcPr>
            <w:tcW w:w="287"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348"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 xml:space="preserve"> 8,185 </w:t>
            </w:r>
          </w:p>
        </w:tc>
      </w:tr>
      <w:tr w:rsidR="001B212B" w:rsidRPr="001B212B" w:rsidTr="003525CA">
        <w:trPr>
          <w:trHeight w:val="259"/>
        </w:trPr>
        <w:tc>
          <w:tcPr>
            <w:tcW w:w="2455" w:type="dxa"/>
            <w:shd w:val="solid" w:color="FFFFFF" w:fill="auto"/>
            <w:vAlign w:val="center"/>
          </w:tcPr>
          <w:p w:rsidR="001B212B" w:rsidRPr="001B212B" w:rsidRDefault="001B212B" w:rsidP="003525CA">
            <w:pPr>
              <w:autoSpaceDE w:val="0"/>
              <w:autoSpaceDN w:val="0"/>
              <w:adjustRightInd w:val="0"/>
              <w:rPr>
                <w:rFonts w:ascii="Arial" w:hAnsi="Arial" w:cs="Arial"/>
                <w:sz w:val="20"/>
                <w:szCs w:val="20"/>
              </w:rPr>
            </w:pPr>
            <w:r w:rsidRPr="001B212B">
              <w:rPr>
                <w:rFonts w:ascii="Arial" w:hAnsi="Arial" w:cs="Arial"/>
                <w:sz w:val="20"/>
                <w:szCs w:val="20"/>
              </w:rPr>
              <w:t>Torfaen</w:t>
            </w:r>
          </w:p>
        </w:tc>
        <w:tc>
          <w:tcPr>
            <w:tcW w:w="286" w:type="dxa"/>
            <w:shd w:val="solid" w:color="FFFFFF" w:fill="auto"/>
          </w:tcPr>
          <w:p w:rsidR="001B212B" w:rsidRPr="001B212B" w:rsidRDefault="001B212B" w:rsidP="009A1FD2">
            <w:pPr>
              <w:autoSpaceDE w:val="0"/>
              <w:autoSpaceDN w:val="0"/>
              <w:adjustRightInd w:val="0"/>
              <w:jc w:val="right"/>
              <w:rPr>
                <w:rFonts w:ascii="Arial" w:hAnsi="Arial" w:cs="Arial"/>
                <w:color w:val="FF0000"/>
                <w:sz w:val="20"/>
                <w:szCs w:val="20"/>
                <w:highlight w:val="yellow"/>
              </w:rPr>
            </w:pPr>
          </w:p>
        </w:tc>
        <w:tc>
          <w:tcPr>
            <w:tcW w:w="142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131,914</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06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570"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132,065</w:t>
            </w:r>
          </w:p>
        </w:tc>
        <w:tc>
          <w:tcPr>
            <w:tcW w:w="286"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85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6"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569"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132,065</w:t>
            </w:r>
          </w:p>
        </w:tc>
        <w:tc>
          <w:tcPr>
            <w:tcW w:w="287" w:type="dxa"/>
            <w:shd w:val="solid" w:color="FFFFFF" w:fill="auto"/>
            <w:vAlign w:val="center"/>
          </w:tcPr>
          <w:p w:rsidR="001B212B" w:rsidRPr="001B212B" w:rsidRDefault="001B212B" w:rsidP="003525CA">
            <w:pPr>
              <w:jc w:val="right"/>
              <w:rPr>
                <w:rFonts w:ascii="Arial" w:hAnsi="Arial" w:cs="Arial"/>
                <w:b/>
                <w:sz w:val="20"/>
                <w:szCs w:val="20"/>
                <w:highlight w:val="yellow"/>
              </w:rPr>
            </w:pPr>
          </w:p>
        </w:tc>
        <w:tc>
          <w:tcPr>
            <w:tcW w:w="133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0.1%</w:t>
            </w:r>
          </w:p>
        </w:tc>
        <w:tc>
          <w:tcPr>
            <w:tcW w:w="281"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572"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6</w:t>
            </w:r>
          </w:p>
        </w:tc>
        <w:tc>
          <w:tcPr>
            <w:tcW w:w="287"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348"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 xml:space="preserve"> 8,116 </w:t>
            </w:r>
          </w:p>
        </w:tc>
      </w:tr>
      <w:tr w:rsidR="001B212B" w:rsidRPr="001B212B" w:rsidTr="003525CA">
        <w:trPr>
          <w:trHeight w:val="259"/>
        </w:trPr>
        <w:tc>
          <w:tcPr>
            <w:tcW w:w="2455" w:type="dxa"/>
            <w:shd w:val="solid" w:color="FFFFFF" w:fill="auto"/>
            <w:vAlign w:val="center"/>
          </w:tcPr>
          <w:p w:rsidR="001B212B" w:rsidRPr="001B212B" w:rsidRDefault="001B212B" w:rsidP="003525CA">
            <w:pPr>
              <w:autoSpaceDE w:val="0"/>
              <w:autoSpaceDN w:val="0"/>
              <w:adjustRightInd w:val="0"/>
              <w:rPr>
                <w:rFonts w:ascii="Arial" w:hAnsi="Arial" w:cs="Arial"/>
                <w:sz w:val="20"/>
                <w:szCs w:val="20"/>
              </w:rPr>
            </w:pPr>
            <w:r w:rsidRPr="001B212B">
              <w:rPr>
                <w:rFonts w:ascii="Arial" w:hAnsi="Arial" w:cs="Arial"/>
                <w:sz w:val="20"/>
                <w:szCs w:val="20"/>
              </w:rPr>
              <w:t>Monmouthshire</w:t>
            </w:r>
          </w:p>
        </w:tc>
        <w:tc>
          <w:tcPr>
            <w:tcW w:w="286" w:type="dxa"/>
            <w:shd w:val="solid" w:color="FFFFFF" w:fill="auto"/>
          </w:tcPr>
          <w:p w:rsidR="001B212B" w:rsidRPr="001B212B" w:rsidRDefault="001B212B" w:rsidP="009A1FD2">
            <w:pPr>
              <w:autoSpaceDE w:val="0"/>
              <w:autoSpaceDN w:val="0"/>
              <w:adjustRightInd w:val="0"/>
              <w:jc w:val="right"/>
              <w:rPr>
                <w:rFonts w:ascii="Arial" w:hAnsi="Arial" w:cs="Arial"/>
                <w:color w:val="FF0000"/>
                <w:sz w:val="20"/>
                <w:szCs w:val="20"/>
                <w:highlight w:val="yellow"/>
              </w:rPr>
            </w:pPr>
          </w:p>
        </w:tc>
        <w:tc>
          <w:tcPr>
            <w:tcW w:w="142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93,559</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06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51</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570"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91,920</w:t>
            </w:r>
          </w:p>
        </w:tc>
        <w:tc>
          <w:tcPr>
            <w:tcW w:w="286"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85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703</w:t>
            </w:r>
          </w:p>
        </w:tc>
        <w:tc>
          <w:tcPr>
            <w:tcW w:w="286"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569"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92,623</w:t>
            </w:r>
          </w:p>
        </w:tc>
        <w:tc>
          <w:tcPr>
            <w:tcW w:w="287" w:type="dxa"/>
            <w:shd w:val="solid" w:color="FFFFFF" w:fill="auto"/>
            <w:vAlign w:val="center"/>
          </w:tcPr>
          <w:p w:rsidR="001B212B" w:rsidRPr="001B212B" w:rsidRDefault="001B212B" w:rsidP="003525CA">
            <w:pPr>
              <w:jc w:val="right"/>
              <w:rPr>
                <w:rFonts w:ascii="Arial" w:hAnsi="Arial" w:cs="Arial"/>
                <w:b/>
                <w:sz w:val="20"/>
                <w:szCs w:val="20"/>
                <w:highlight w:val="yellow"/>
              </w:rPr>
            </w:pPr>
          </w:p>
        </w:tc>
        <w:tc>
          <w:tcPr>
            <w:tcW w:w="133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-1.0%</w:t>
            </w:r>
          </w:p>
        </w:tc>
        <w:tc>
          <w:tcPr>
            <w:tcW w:w="281"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572"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18</w:t>
            </w:r>
          </w:p>
        </w:tc>
        <w:tc>
          <w:tcPr>
            <w:tcW w:w="287"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348"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 xml:space="preserve"> 5,702 </w:t>
            </w:r>
          </w:p>
        </w:tc>
      </w:tr>
      <w:tr w:rsidR="001B212B" w:rsidRPr="001B212B" w:rsidTr="003525CA">
        <w:trPr>
          <w:trHeight w:val="259"/>
        </w:trPr>
        <w:tc>
          <w:tcPr>
            <w:tcW w:w="2455" w:type="dxa"/>
            <w:shd w:val="solid" w:color="FFFFFF" w:fill="auto"/>
            <w:vAlign w:val="center"/>
          </w:tcPr>
          <w:p w:rsidR="001B212B" w:rsidRPr="001B212B" w:rsidRDefault="001B212B" w:rsidP="003525CA">
            <w:pPr>
              <w:autoSpaceDE w:val="0"/>
              <w:autoSpaceDN w:val="0"/>
              <w:adjustRightInd w:val="0"/>
              <w:rPr>
                <w:rFonts w:ascii="Arial" w:hAnsi="Arial" w:cs="Arial"/>
                <w:sz w:val="20"/>
                <w:szCs w:val="20"/>
              </w:rPr>
            </w:pPr>
            <w:r w:rsidRPr="001B212B">
              <w:rPr>
                <w:rFonts w:ascii="Arial" w:hAnsi="Arial" w:cs="Arial"/>
                <w:sz w:val="20"/>
                <w:szCs w:val="20"/>
              </w:rPr>
              <w:t>Newport</w:t>
            </w:r>
          </w:p>
        </w:tc>
        <w:tc>
          <w:tcPr>
            <w:tcW w:w="286" w:type="dxa"/>
            <w:shd w:val="solid" w:color="FFFFFF" w:fill="auto"/>
          </w:tcPr>
          <w:p w:rsidR="001B212B" w:rsidRPr="001B212B" w:rsidRDefault="001B212B" w:rsidP="009A1FD2">
            <w:pPr>
              <w:autoSpaceDE w:val="0"/>
              <w:autoSpaceDN w:val="0"/>
              <w:adjustRightInd w:val="0"/>
              <w:jc w:val="right"/>
              <w:rPr>
                <w:rFonts w:ascii="Arial" w:hAnsi="Arial" w:cs="Arial"/>
                <w:color w:val="FF0000"/>
                <w:sz w:val="20"/>
                <w:szCs w:val="20"/>
                <w:highlight w:val="yellow"/>
              </w:rPr>
            </w:pPr>
          </w:p>
        </w:tc>
        <w:tc>
          <w:tcPr>
            <w:tcW w:w="142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213,423</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06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570"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213,759</w:t>
            </w:r>
          </w:p>
        </w:tc>
        <w:tc>
          <w:tcPr>
            <w:tcW w:w="286"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85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6"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569"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213,759</w:t>
            </w:r>
          </w:p>
        </w:tc>
        <w:tc>
          <w:tcPr>
            <w:tcW w:w="287" w:type="dxa"/>
            <w:shd w:val="solid" w:color="FFFFFF" w:fill="auto"/>
            <w:vAlign w:val="center"/>
          </w:tcPr>
          <w:p w:rsidR="001B212B" w:rsidRPr="001B212B" w:rsidRDefault="001B212B" w:rsidP="003525CA">
            <w:pPr>
              <w:jc w:val="right"/>
              <w:rPr>
                <w:rFonts w:ascii="Arial" w:hAnsi="Arial" w:cs="Arial"/>
                <w:b/>
                <w:sz w:val="20"/>
                <w:szCs w:val="20"/>
                <w:highlight w:val="yellow"/>
              </w:rPr>
            </w:pPr>
          </w:p>
        </w:tc>
        <w:tc>
          <w:tcPr>
            <w:tcW w:w="133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0.2%</w:t>
            </w:r>
          </w:p>
        </w:tc>
        <w:tc>
          <w:tcPr>
            <w:tcW w:w="281"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572"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5</w:t>
            </w:r>
          </w:p>
        </w:tc>
        <w:tc>
          <w:tcPr>
            <w:tcW w:w="287"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348"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 xml:space="preserve"> 10,216 </w:t>
            </w:r>
          </w:p>
        </w:tc>
      </w:tr>
      <w:tr w:rsidR="001B212B" w:rsidRPr="001B212B" w:rsidTr="003525CA">
        <w:trPr>
          <w:trHeight w:val="259"/>
        </w:trPr>
        <w:tc>
          <w:tcPr>
            <w:tcW w:w="2455" w:type="dxa"/>
            <w:tcBorders>
              <w:bottom w:val="single" w:sz="4" w:space="0" w:color="auto"/>
            </w:tcBorders>
            <w:shd w:val="solid" w:color="FFFFFF" w:fill="auto"/>
            <w:vAlign w:val="center"/>
          </w:tcPr>
          <w:p w:rsidR="001B212B" w:rsidRPr="001B212B" w:rsidRDefault="001B212B" w:rsidP="003525CA">
            <w:pPr>
              <w:autoSpaceDE w:val="0"/>
              <w:autoSpaceDN w:val="0"/>
              <w:adjustRightInd w:val="0"/>
              <w:rPr>
                <w:rFonts w:ascii="Arial" w:hAnsi="Arial" w:cs="Arial"/>
                <w:sz w:val="20"/>
                <w:szCs w:val="20"/>
              </w:rPr>
            </w:pPr>
            <w:r w:rsidRPr="001B212B">
              <w:rPr>
                <w:rFonts w:ascii="Arial" w:hAnsi="Arial" w:cs="Arial"/>
                <w:sz w:val="20"/>
                <w:szCs w:val="20"/>
              </w:rPr>
              <w:t>Cardiff</w:t>
            </w:r>
          </w:p>
        </w:tc>
        <w:tc>
          <w:tcPr>
            <w:tcW w:w="286" w:type="dxa"/>
            <w:shd w:val="solid" w:color="FFFFFF" w:fill="auto"/>
          </w:tcPr>
          <w:p w:rsidR="001B212B" w:rsidRPr="001B212B" w:rsidRDefault="001B212B" w:rsidP="009A1FD2">
            <w:pPr>
              <w:autoSpaceDE w:val="0"/>
              <w:autoSpaceDN w:val="0"/>
              <w:adjustRightInd w:val="0"/>
              <w:jc w:val="right"/>
              <w:rPr>
                <w:rFonts w:ascii="Arial" w:hAnsi="Arial" w:cs="Arial"/>
                <w:color w:val="FF0000"/>
                <w:sz w:val="20"/>
                <w:szCs w:val="20"/>
                <w:highlight w:val="yellow"/>
              </w:rPr>
            </w:pPr>
          </w:p>
        </w:tc>
        <w:tc>
          <w:tcPr>
            <w:tcW w:w="1427" w:type="dxa"/>
            <w:tcBorders>
              <w:bottom w:val="single" w:sz="4" w:space="0" w:color="auto"/>
            </w:tcBorders>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442,312</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067" w:type="dxa"/>
            <w:tcBorders>
              <w:bottom w:val="single" w:sz="4" w:space="0" w:color="auto"/>
            </w:tcBorders>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7"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1570" w:type="dxa"/>
            <w:tcBorders>
              <w:bottom w:val="single" w:sz="4" w:space="0" w:color="auto"/>
            </w:tcBorders>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443,970</w:t>
            </w:r>
          </w:p>
        </w:tc>
        <w:tc>
          <w:tcPr>
            <w:tcW w:w="286" w:type="dxa"/>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highlight w:val="yellow"/>
              </w:rPr>
            </w:pPr>
          </w:p>
        </w:tc>
        <w:tc>
          <w:tcPr>
            <w:tcW w:w="857" w:type="dxa"/>
            <w:tcBorders>
              <w:bottom w:val="single" w:sz="4" w:space="0" w:color="auto"/>
            </w:tcBorders>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w:t>
            </w:r>
          </w:p>
        </w:tc>
        <w:tc>
          <w:tcPr>
            <w:tcW w:w="286"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569" w:type="dxa"/>
            <w:tcBorders>
              <w:bottom w:val="single" w:sz="4" w:space="0" w:color="auto"/>
            </w:tcBorders>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443,970</w:t>
            </w:r>
          </w:p>
        </w:tc>
        <w:tc>
          <w:tcPr>
            <w:tcW w:w="287" w:type="dxa"/>
            <w:shd w:val="solid" w:color="FFFFFF" w:fill="auto"/>
            <w:vAlign w:val="center"/>
          </w:tcPr>
          <w:p w:rsidR="001B212B" w:rsidRPr="001B212B" w:rsidRDefault="001B212B" w:rsidP="003525CA">
            <w:pPr>
              <w:jc w:val="right"/>
              <w:rPr>
                <w:rFonts w:ascii="Arial" w:hAnsi="Arial" w:cs="Arial"/>
                <w:b/>
                <w:sz w:val="20"/>
                <w:szCs w:val="20"/>
                <w:highlight w:val="yellow"/>
              </w:rPr>
            </w:pPr>
          </w:p>
        </w:tc>
        <w:tc>
          <w:tcPr>
            <w:tcW w:w="1337" w:type="dxa"/>
            <w:tcBorders>
              <w:bottom w:val="single" w:sz="4" w:space="0" w:color="auto"/>
            </w:tcBorders>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0.4%</w:t>
            </w:r>
          </w:p>
        </w:tc>
        <w:tc>
          <w:tcPr>
            <w:tcW w:w="281"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572" w:type="dxa"/>
            <w:tcBorders>
              <w:bottom w:val="single" w:sz="4" w:space="0" w:color="auto"/>
            </w:tcBorders>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1</w:t>
            </w:r>
          </w:p>
        </w:tc>
        <w:tc>
          <w:tcPr>
            <w:tcW w:w="287" w:type="dxa"/>
            <w:shd w:val="solid" w:color="FFFFFF" w:fill="auto"/>
            <w:vAlign w:val="center"/>
          </w:tcPr>
          <w:p w:rsidR="001B212B" w:rsidRPr="001B212B" w:rsidRDefault="001B212B" w:rsidP="003525CA">
            <w:pPr>
              <w:jc w:val="right"/>
              <w:rPr>
                <w:rFonts w:ascii="Arial" w:hAnsi="Arial" w:cs="Arial"/>
                <w:sz w:val="20"/>
                <w:szCs w:val="20"/>
                <w:highlight w:val="yellow"/>
              </w:rPr>
            </w:pPr>
          </w:p>
        </w:tc>
        <w:tc>
          <w:tcPr>
            <w:tcW w:w="1348" w:type="dxa"/>
            <w:tcBorders>
              <w:bottom w:val="single" w:sz="4" w:space="0" w:color="auto"/>
            </w:tcBorders>
            <w:shd w:val="solid" w:color="FFFFFF" w:fill="auto"/>
            <w:vAlign w:val="center"/>
          </w:tcPr>
          <w:p w:rsidR="001B212B" w:rsidRPr="001B212B" w:rsidRDefault="001B212B" w:rsidP="003525CA">
            <w:pPr>
              <w:autoSpaceDE w:val="0"/>
              <w:autoSpaceDN w:val="0"/>
              <w:adjustRightInd w:val="0"/>
              <w:jc w:val="right"/>
              <w:rPr>
                <w:rFonts w:ascii="Arial" w:hAnsi="Arial" w:cs="Arial"/>
                <w:sz w:val="20"/>
                <w:szCs w:val="20"/>
              </w:rPr>
            </w:pPr>
            <w:r w:rsidRPr="001B212B">
              <w:rPr>
                <w:rFonts w:ascii="Arial" w:hAnsi="Arial" w:cs="Arial"/>
                <w:sz w:val="20"/>
                <w:szCs w:val="20"/>
              </w:rPr>
              <w:t xml:space="preserve"> 27,979 </w:t>
            </w:r>
          </w:p>
        </w:tc>
      </w:tr>
      <w:tr w:rsidR="001B212B" w:rsidRPr="001B212B" w:rsidTr="009A1FD2">
        <w:trPr>
          <w:trHeight w:val="79"/>
        </w:trPr>
        <w:tc>
          <w:tcPr>
            <w:tcW w:w="2455" w:type="dxa"/>
            <w:tcBorders>
              <w:top w:val="single" w:sz="4" w:space="0" w:color="auto"/>
            </w:tcBorders>
            <w:shd w:val="solid" w:color="FFFFFF" w:fill="auto"/>
            <w:vAlign w:val="center"/>
          </w:tcPr>
          <w:p w:rsidR="001B212B" w:rsidRPr="001B212B" w:rsidRDefault="001B212B" w:rsidP="009A1FD2">
            <w:pPr>
              <w:autoSpaceDE w:val="0"/>
              <w:autoSpaceDN w:val="0"/>
              <w:adjustRightInd w:val="0"/>
              <w:rPr>
                <w:rFonts w:ascii="Arial" w:hAnsi="Arial" w:cs="Arial"/>
                <w:sz w:val="20"/>
                <w:szCs w:val="20"/>
              </w:rPr>
            </w:pPr>
          </w:p>
        </w:tc>
        <w:tc>
          <w:tcPr>
            <w:tcW w:w="286" w:type="dxa"/>
            <w:shd w:val="solid" w:color="FFFFFF" w:fill="auto"/>
          </w:tcPr>
          <w:p w:rsidR="001B212B" w:rsidRPr="001B212B" w:rsidRDefault="001B212B" w:rsidP="009A1FD2">
            <w:pPr>
              <w:autoSpaceDE w:val="0"/>
              <w:autoSpaceDN w:val="0"/>
              <w:adjustRightInd w:val="0"/>
              <w:jc w:val="right"/>
              <w:rPr>
                <w:rFonts w:ascii="Arial" w:hAnsi="Arial" w:cs="Arial"/>
                <w:color w:val="FF0000"/>
                <w:sz w:val="20"/>
                <w:szCs w:val="20"/>
                <w:highlight w:val="yellow"/>
              </w:rPr>
            </w:pPr>
          </w:p>
        </w:tc>
        <w:tc>
          <w:tcPr>
            <w:tcW w:w="1427" w:type="dxa"/>
            <w:tcBorders>
              <w:top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sz w:val="20"/>
                <w:szCs w:val="20"/>
                <w:highlight w:val="yellow"/>
              </w:rPr>
            </w:pPr>
          </w:p>
        </w:tc>
        <w:tc>
          <w:tcPr>
            <w:tcW w:w="287" w:type="dxa"/>
            <w:shd w:val="solid" w:color="FFFFFF" w:fill="auto"/>
          </w:tcPr>
          <w:p w:rsidR="001B212B" w:rsidRPr="001B212B" w:rsidRDefault="001B212B" w:rsidP="009A1FD2">
            <w:pPr>
              <w:autoSpaceDE w:val="0"/>
              <w:autoSpaceDN w:val="0"/>
              <w:adjustRightInd w:val="0"/>
              <w:jc w:val="right"/>
              <w:rPr>
                <w:rFonts w:ascii="Arial" w:hAnsi="Arial" w:cs="Arial"/>
                <w:sz w:val="20"/>
                <w:szCs w:val="20"/>
                <w:highlight w:val="yellow"/>
              </w:rPr>
            </w:pPr>
          </w:p>
        </w:tc>
        <w:tc>
          <w:tcPr>
            <w:tcW w:w="1067" w:type="dxa"/>
            <w:tcBorders>
              <w:top w:val="single" w:sz="4" w:space="0" w:color="auto"/>
            </w:tcBorders>
            <w:shd w:val="solid" w:color="FFFFFF" w:fill="auto"/>
          </w:tcPr>
          <w:p w:rsidR="001B212B" w:rsidRPr="001B212B" w:rsidRDefault="001B212B" w:rsidP="009A1FD2">
            <w:pPr>
              <w:autoSpaceDE w:val="0"/>
              <w:autoSpaceDN w:val="0"/>
              <w:adjustRightInd w:val="0"/>
              <w:jc w:val="right"/>
              <w:rPr>
                <w:rFonts w:ascii="Arial" w:hAnsi="Arial" w:cs="Arial"/>
                <w:sz w:val="20"/>
                <w:szCs w:val="20"/>
              </w:rPr>
            </w:pPr>
          </w:p>
        </w:tc>
        <w:tc>
          <w:tcPr>
            <w:tcW w:w="287" w:type="dxa"/>
            <w:shd w:val="solid" w:color="FFFFFF" w:fill="auto"/>
          </w:tcPr>
          <w:p w:rsidR="001B212B" w:rsidRPr="001B212B" w:rsidRDefault="001B212B" w:rsidP="009A1FD2">
            <w:pPr>
              <w:autoSpaceDE w:val="0"/>
              <w:autoSpaceDN w:val="0"/>
              <w:adjustRightInd w:val="0"/>
              <w:jc w:val="right"/>
              <w:rPr>
                <w:rFonts w:ascii="Arial" w:hAnsi="Arial" w:cs="Arial"/>
                <w:sz w:val="20"/>
                <w:szCs w:val="20"/>
                <w:highlight w:val="yellow"/>
              </w:rPr>
            </w:pPr>
          </w:p>
        </w:tc>
        <w:tc>
          <w:tcPr>
            <w:tcW w:w="1570" w:type="dxa"/>
            <w:tcBorders>
              <w:top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sz w:val="20"/>
                <w:szCs w:val="20"/>
                <w:highlight w:val="yellow"/>
              </w:rPr>
            </w:pPr>
          </w:p>
        </w:tc>
        <w:tc>
          <w:tcPr>
            <w:tcW w:w="286" w:type="dxa"/>
            <w:shd w:val="solid" w:color="FFFFFF" w:fill="auto"/>
          </w:tcPr>
          <w:p w:rsidR="001B212B" w:rsidRPr="001B212B" w:rsidRDefault="001B212B" w:rsidP="009A1FD2">
            <w:pPr>
              <w:autoSpaceDE w:val="0"/>
              <w:autoSpaceDN w:val="0"/>
              <w:adjustRightInd w:val="0"/>
              <w:jc w:val="right"/>
              <w:rPr>
                <w:rFonts w:ascii="Arial" w:hAnsi="Arial" w:cs="Arial"/>
                <w:sz w:val="20"/>
                <w:szCs w:val="20"/>
                <w:highlight w:val="yellow"/>
              </w:rPr>
            </w:pPr>
          </w:p>
        </w:tc>
        <w:tc>
          <w:tcPr>
            <w:tcW w:w="857" w:type="dxa"/>
            <w:tcBorders>
              <w:top w:val="single" w:sz="4" w:space="0" w:color="auto"/>
            </w:tcBorders>
            <w:shd w:val="solid" w:color="FFFFFF" w:fill="auto"/>
          </w:tcPr>
          <w:p w:rsidR="001B212B" w:rsidRPr="001B212B" w:rsidRDefault="001B212B" w:rsidP="009A1FD2">
            <w:pPr>
              <w:autoSpaceDE w:val="0"/>
              <w:autoSpaceDN w:val="0"/>
              <w:adjustRightInd w:val="0"/>
              <w:jc w:val="right"/>
              <w:rPr>
                <w:rFonts w:ascii="Arial" w:hAnsi="Arial" w:cs="Arial"/>
                <w:sz w:val="20"/>
                <w:szCs w:val="20"/>
              </w:rPr>
            </w:pPr>
          </w:p>
        </w:tc>
        <w:tc>
          <w:tcPr>
            <w:tcW w:w="286" w:type="dxa"/>
            <w:shd w:val="solid" w:color="FFFFFF" w:fill="auto"/>
          </w:tcPr>
          <w:p w:rsidR="001B212B" w:rsidRPr="001B212B" w:rsidRDefault="001B212B" w:rsidP="009A1FD2">
            <w:pPr>
              <w:autoSpaceDE w:val="0"/>
              <w:autoSpaceDN w:val="0"/>
              <w:adjustRightInd w:val="0"/>
              <w:jc w:val="right"/>
              <w:rPr>
                <w:rFonts w:ascii="Arial" w:hAnsi="Arial" w:cs="Arial"/>
                <w:sz w:val="20"/>
                <w:szCs w:val="20"/>
                <w:highlight w:val="yellow"/>
              </w:rPr>
            </w:pPr>
          </w:p>
        </w:tc>
        <w:tc>
          <w:tcPr>
            <w:tcW w:w="1569" w:type="dxa"/>
            <w:tcBorders>
              <w:top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sz w:val="20"/>
                <w:szCs w:val="20"/>
                <w:highlight w:val="yellow"/>
              </w:rPr>
            </w:pPr>
          </w:p>
        </w:tc>
        <w:tc>
          <w:tcPr>
            <w:tcW w:w="287" w:type="dxa"/>
            <w:shd w:val="solid" w:color="FFFFFF" w:fill="auto"/>
          </w:tcPr>
          <w:p w:rsidR="001B212B" w:rsidRPr="001B212B" w:rsidRDefault="001B212B" w:rsidP="009A1FD2">
            <w:pPr>
              <w:autoSpaceDE w:val="0"/>
              <w:autoSpaceDN w:val="0"/>
              <w:adjustRightInd w:val="0"/>
              <w:jc w:val="right"/>
              <w:rPr>
                <w:rFonts w:ascii="Arial" w:hAnsi="Arial" w:cs="Arial"/>
                <w:sz w:val="20"/>
                <w:szCs w:val="20"/>
                <w:highlight w:val="yellow"/>
              </w:rPr>
            </w:pPr>
          </w:p>
        </w:tc>
        <w:tc>
          <w:tcPr>
            <w:tcW w:w="1337" w:type="dxa"/>
            <w:tcBorders>
              <w:top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sz w:val="20"/>
                <w:szCs w:val="20"/>
                <w:highlight w:val="yellow"/>
              </w:rPr>
            </w:pPr>
          </w:p>
        </w:tc>
        <w:tc>
          <w:tcPr>
            <w:tcW w:w="281" w:type="dxa"/>
            <w:shd w:val="solid" w:color="FFFFFF" w:fill="auto"/>
          </w:tcPr>
          <w:p w:rsidR="001B212B" w:rsidRPr="001B212B" w:rsidRDefault="001B212B" w:rsidP="009A1FD2">
            <w:pPr>
              <w:autoSpaceDE w:val="0"/>
              <w:autoSpaceDN w:val="0"/>
              <w:adjustRightInd w:val="0"/>
              <w:jc w:val="right"/>
              <w:rPr>
                <w:rFonts w:ascii="Arial" w:hAnsi="Arial" w:cs="Arial"/>
                <w:sz w:val="20"/>
                <w:szCs w:val="20"/>
                <w:highlight w:val="yellow"/>
              </w:rPr>
            </w:pPr>
          </w:p>
        </w:tc>
        <w:tc>
          <w:tcPr>
            <w:tcW w:w="572" w:type="dxa"/>
            <w:tcBorders>
              <w:top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sz w:val="20"/>
                <w:szCs w:val="20"/>
                <w:highlight w:val="yellow"/>
              </w:rPr>
            </w:pPr>
          </w:p>
        </w:tc>
        <w:tc>
          <w:tcPr>
            <w:tcW w:w="287" w:type="dxa"/>
            <w:shd w:val="solid" w:color="FFFFFF" w:fill="auto"/>
          </w:tcPr>
          <w:p w:rsidR="001B212B" w:rsidRPr="001B212B" w:rsidRDefault="001B212B" w:rsidP="009A1FD2">
            <w:pPr>
              <w:autoSpaceDE w:val="0"/>
              <w:autoSpaceDN w:val="0"/>
              <w:adjustRightInd w:val="0"/>
              <w:jc w:val="right"/>
              <w:rPr>
                <w:rFonts w:ascii="Arial" w:hAnsi="Arial" w:cs="Arial"/>
                <w:sz w:val="20"/>
                <w:szCs w:val="20"/>
                <w:highlight w:val="yellow"/>
              </w:rPr>
            </w:pPr>
          </w:p>
        </w:tc>
        <w:tc>
          <w:tcPr>
            <w:tcW w:w="1348" w:type="dxa"/>
            <w:tcBorders>
              <w:top w:val="single" w:sz="4" w:space="0" w:color="auto"/>
            </w:tcBorders>
            <w:shd w:val="solid" w:color="FFFFFF" w:fill="auto"/>
          </w:tcPr>
          <w:p w:rsidR="001B212B" w:rsidRPr="001B212B" w:rsidRDefault="001B212B" w:rsidP="009A1FD2">
            <w:pPr>
              <w:autoSpaceDE w:val="0"/>
              <w:autoSpaceDN w:val="0"/>
              <w:adjustRightInd w:val="0"/>
              <w:jc w:val="right"/>
              <w:rPr>
                <w:rFonts w:ascii="Arial" w:hAnsi="Arial" w:cs="Arial"/>
                <w:sz w:val="20"/>
                <w:szCs w:val="20"/>
                <w:highlight w:val="yellow"/>
              </w:rPr>
            </w:pPr>
          </w:p>
        </w:tc>
      </w:tr>
      <w:tr w:rsidR="001B212B" w:rsidRPr="001B212B" w:rsidTr="009A1FD2">
        <w:trPr>
          <w:trHeight w:val="264"/>
        </w:trPr>
        <w:tc>
          <w:tcPr>
            <w:tcW w:w="2455" w:type="dxa"/>
            <w:tcBorders>
              <w:bottom w:val="single" w:sz="4" w:space="0" w:color="auto"/>
            </w:tcBorders>
            <w:shd w:val="solid" w:color="FFFFFF" w:fill="auto"/>
            <w:vAlign w:val="center"/>
          </w:tcPr>
          <w:p w:rsidR="001B212B" w:rsidRPr="001B212B" w:rsidRDefault="001B212B" w:rsidP="009A1FD2">
            <w:pPr>
              <w:autoSpaceDE w:val="0"/>
              <w:autoSpaceDN w:val="0"/>
              <w:adjustRightInd w:val="0"/>
              <w:rPr>
                <w:rFonts w:ascii="Arial" w:hAnsi="Arial" w:cs="Arial"/>
                <w:b/>
                <w:bCs/>
                <w:sz w:val="20"/>
                <w:szCs w:val="20"/>
              </w:rPr>
            </w:pPr>
            <w:r w:rsidRPr="001B212B">
              <w:rPr>
                <w:rFonts w:ascii="Arial" w:hAnsi="Arial" w:cs="Arial"/>
                <w:b/>
                <w:bCs/>
                <w:sz w:val="20"/>
                <w:szCs w:val="20"/>
              </w:rPr>
              <w:t>All Unitary Authorities</w:t>
            </w:r>
          </w:p>
        </w:tc>
        <w:tc>
          <w:tcPr>
            <w:tcW w:w="286" w:type="dxa"/>
            <w:tcBorders>
              <w:bottom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color w:val="FF0000"/>
                <w:sz w:val="20"/>
                <w:szCs w:val="20"/>
                <w:highlight w:val="yellow"/>
              </w:rPr>
            </w:pPr>
          </w:p>
        </w:tc>
        <w:tc>
          <w:tcPr>
            <w:tcW w:w="1427" w:type="dxa"/>
            <w:tcBorders>
              <w:bottom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b/>
                <w:sz w:val="20"/>
                <w:szCs w:val="20"/>
                <w:highlight w:val="yellow"/>
              </w:rPr>
            </w:pPr>
            <w:r w:rsidRPr="001B212B">
              <w:rPr>
                <w:rFonts w:ascii="Arial" w:hAnsi="Arial" w:cs="Arial"/>
                <w:b/>
                <w:sz w:val="20"/>
                <w:szCs w:val="20"/>
              </w:rPr>
              <w:t>4,226,136</w:t>
            </w:r>
          </w:p>
        </w:tc>
        <w:tc>
          <w:tcPr>
            <w:tcW w:w="287" w:type="dxa"/>
            <w:tcBorders>
              <w:bottom w:val="single" w:sz="4" w:space="0" w:color="auto"/>
            </w:tcBorders>
            <w:shd w:val="solid" w:color="FFFFFF" w:fill="auto"/>
          </w:tcPr>
          <w:p w:rsidR="001B212B" w:rsidRPr="001B212B" w:rsidRDefault="001B212B" w:rsidP="009A1FD2">
            <w:pPr>
              <w:autoSpaceDE w:val="0"/>
              <w:autoSpaceDN w:val="0"/>
              <w:adjustRightInd w:val="0"/>
              <w:jc w:val="right"/>
              <w:rPr>
                <w:rFonts w:ascii="Arial" w:hAnsi="Arial" w:cs="Arial"/>
                <w:b/>
                <w:bCs/>
                <w:sz w:val="20"/>
                <w:szCs w:val="20"/>
                <w:highlight w:val="yellow"/>
              </w:rPr>
            </w:pPr>
          </w:p>
        </w:tc>
        <w:tc>
          <w:tcPr>
            <w:tcW w:w="1067" w:type="dxa"/>
            <w:tcBorders>
              <w:bottom w:val="single" w:sz="4" w:space="0" w:color="auto"/>
            </w:tcBorders>
            <w:shd w:val="solid" w:color="FFFFFF" w:fill="auto"/>
          </w:tcPr>
          <w:p w:rsidR="001B212B" w:rsidRPr="001B212B" w:rsidRDefault="001B212B" w:rsidP="009A1FD2">
            <w:pPr>
              <w:autoSpaceDE w:val="0"/>
              <w:autoSpaceDN w:val="0"/>
              <w:adjustRightInd w:val="0"/>
              <w:jc w:val="right"/>
              <w:rPr>
                <w:rFonts w:ascii="Arial" w:hAnsi="Arial" w:cs="Arial"/>
                <w:b/>
                <w:bCs/>
                <w:sz w:val="20"/>
                <w:szCs w:val="20"/>
              </w:rPr>
            </w:pPr>
            <w:r w:rsidRPr="001B212B">
              <w:rPr>
                <w:rFonts w:ascii="Arial" w:hAnsi="Arial" w:cs="Arial"/>
                <w:b/>
                <w:bCs/>
                <w:sz w:val="20"/>
                <w:szCs w:val="20"/>
              </w:rPr>
              <w:t>807</w:t>
            </w:r>
          </w:p>
        </w:tc>
        <w:tc>
          <w:tcPr>
            <w:tcW w:w="287" w:type="dxa"/>
            <w:tcBorders>
              <w:bottom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b/>
                <w:bCs/>
                <w:sz w:val="20"/>
                <w:szCs w:val="20"/>
                <w:highlight w:val="yellow"/>
              </w:rPr>
            </w:pPr>
          </w:p>
        </w:tc>
        <w:tc>
          <w:tcPr>
            <w:tcW w:w="1570" w:type="dxa"/>
            <w:tcBorders>
              <w:bottom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b/>
                <w:sz w:val="20"/>
                <w:szCs w:val="20"/>
                <w:highlight w:val="yellow"/>
              </w:rPr>
            </w:pPr>
            <w:r w:rsidRPr="001B212B">
              <w:rPr>
                <w:rFonts w:ascii="Arial" w:hAnsi="Arial" w:cs="Arial"/>
                <w:b/>
                <w:sz w:val="20"/>
                <w:szCs w:val="20"/>
              </w:rPr>
              <w:t>4,211,345</w:t>
            </w:r>
          </w:p>
        </w:tc>
        <w:tc>
          <w:tcPr>
            <w:tcW w:w="286" w:type="dxa"/>
            <w:tcBorders>
              <w:bottom w:val="single" w:sz="4" w:space="0" w:color="auto"/>
            </w:tcBorders>
            <w:shd w:val="solid" w:color="FFFFFF" w:fill="auto"/>
          </w:tcPr>
          <w:p w:rsidR="001B212B" w:rsidRPr="001B212B" w:rsidRDefault="001B212B" w:rsidP="009A1FD2">
            <w:pPr>
              <w:autoSpaceDE w:val="0"/>
              <w:autoSpaceDN w:val="0"/>
              <w:adjustRightInd w:val="0"/>
              <w:jc w:val="right"/>
              <w:rPr>
                <w:rFonts w:ascii="Arial" w:hAnsi="Arial" w:cs="Arial"/>
                <w:b/>
                <w:bCs/>
                <w:sz w:val="20"/>
                <w:szCs w:val="20"/>
                <w:highlight w:val="yellow"/>
              </w:rPr>
            </w:pPr>
          </w:p>
        </w:tc>
        <w:tc>
          <w:tcPr>
            <w:tcW w:w="857" w:type="dxa"/>
            <w:tcBorders>
              <w:bottom w:val="single" w:sz="4" w:space="0" w:color="auto"/>
            </w:tcBorders>
            <w:shd w:val="solid" w:color="FFFFFF" w:fill="auto"/>
          </w:tcPr>
          <w:p w:rsidR="001B212B" w:rsidRPr="001B212B" w:rsidRDefault="001B212B" w:rsidP="009A1FD2">
            <w:pPr>
              <w:autoSpaceDE w:val="0"/>
              <w:autoSpaceDN w:val="0"/>
              <w:adjustRightInd w:val="0"/>
              <w:jc w:val="right"/>
              <w:rPr>
                <w:rFonts w:ascii="Arial" w:hAnsi="Arial" w:cs="Arial"/>
                <w:b/>
                <w:bCs/>
                <w:sz w:val="20"/>
                <w:szCs w:val="20"/>
              </w:rPr>
            </w:pPr>
            <w:r w:rsidRPr="001B212B">
              <w:rPr>
                <w:rFonts w:ascii="Arial" w:hAnsi="Arial" w:cs="Arial"/>
                <w:b/>
                <w:bCs/>
                <w:sz w:val="20"/>
                <w:szCs w:val="20"/>
              </w:rPr>
              <w:t>2,495</w:t>
            </w:r>
          </w:p>
        </w:tc>
        <w:tc>
          <w:tcPr>
            <w:tcW w:w="286" w:type="dxa"/>
            <w:tcBorders>
              <w:bottom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b/>
                <w:bCs/>
                <w:sz w:val="20"/>
                <w:szCs w:val="20"/>
                <w:highlight w:val="yellow"/>
              </w:rPr>
            </w:pPr>
          </w:p>
        </w:tc>
        <w:tc>
          <w:tcPr>
            <w:tcW w:w="1569" w:type="dxa"/>
            <w:tcBorders>
              <w:bottom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b/>
                <w:sz w:val="20"/>
                <w:szCs w:val="20"/>
                <w:highlight w:val="yellow"/>
              </w:rPr>
            </w:pPr>
            <w:r w:rsidRPr="001B212B">
              <w:rPr>
                <w:rFonts w:ascii="Arial" w:hAnsi="Arial" w:cs="Arial"/>
                <w:b/>
                <w:sz w:val="20"/>
                <w:szCs w:val="20"/>
              </w:rPr>
              <w:t>4,213,840</w:t>
            </w:r>
          </w:p>
        </w:tc>
        <w:tc>
          <w:tcPr>
            <w:tcW w:w="287" w:type="dxa"/>
            <w:tcBorders>
              <w:bottom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b/>
                <w:bCs/>
                <w:sz w:val="20"/>
                <w:szCs w:val="20"/>
                <w:highlight w:val="yellow"/>
              </w:rPr>
            </w:pPr>
          </w:p>
        </w:tc>
        <w:tc>
          <w:tcPr>
            <w:tcW w:w="1337" w:type="dxa"/>
            <w:tcBorders>
              <w:bottom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b/>
                <w:bCs/>
                <w:sz w:val="20"/>
                <w:szCs w:val="20"/>
                <w:highlight w:val="yellow"/>
              </w:rPr>
            </w:pPr>
            <w:r w:rsidRPr="001B212B">
              <w:rPr>
                <w:rFonts w:ascii="Arial" w:hAnsi="Arial" w:cs="Arial"/>
                <w:b/>
                <w:bCs/>
                <w:sz w:val="20"/>
                <w:szCs w:val="20"/>
              </w:rPr>
              <w:t>-0.3%</w:t>
            </w:r>
          </w:p>
        </w:tc>
        <w:tc>
          <w:tcPr>
            <w:tcW w:w="281" w:type="dxa"/>
            <w:tcBorders>
              <w:bottom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b/>
                <w:bCs/>
                <w:sz w:val="20"/>
                <w:szCs w:val="20"/>
                <w:highlight w:val="yellow"/>
              </w:rPr>
            </w:pPr>
          </w:p>
        </w:tc>
        <w:tc>
          <w:tcPr>
            <w:tcW w:w="572" w:type="dxa"/>
            <w:tcBorders>
              <w:bottom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b/>
                <w:bCs/>
                <w:sz w:val="20"/>
                <w:szCs w:val="20"/>
                <w:highlight w:val="yellow"/>
              </w:rPr>
            </w:pPr>
          </w:p>
        </w:tc>
        <w:tc>
          <w:tcPr>
            <w:tcW w:w="287" w:type="dxa"/>
            <w:tcBorders>
              <w:bottom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b/>
                <w:bCs/>
                <w:sz w:val="20"/>
                <w:szCs w:val="20"/>
                <w:highlight w:val="yellow"/>
              </w:rPr>
            </w:pPr>
          </w:p>
        </w:tc>
        <w:tc>
          <w:tcPr>
            <w:tcW w:w="1348" w:type="dxa"/>
            <w:tcBorders>
              <w:bottom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b/>
                <w:bCs/>
                <w:sz w:val="20"/>
                <w:szCs w:val="20"/>
              </w:rPr>
            </w:pPr>
            <w:r w:rsidRPr="001B212B">
              <w:rPr>
                <w:rFonts w:ascii="Arial" w:hAnsi="Arial" w:cs="Arial"/>
                <w:b/>
                <w:bCs/>
                <w:sz w:val="20"/>
                <w:szCs w:val="20"/>
              </w:rPr>
              <w:t>244,000</w:t>
            </w:r>
          </w:p>
        </w:tc>
      </w:tr>
      <w:tr w:rsidR="001B212B" w:rsidRPr="001B212B" w:rsidTr="009A1FD2">
        <w:trPr>
          <w:trHeight w:val="264"/>
        </w:trPr>
        <w:tc>
          <w:tcPr>
            <w:tcW w:w="2455" w:type="dxa"/>
            <w:tcBorders>
              <w:top w:val="single" w:sz="4" w:space="0" w:color="auto"/>
            </w:tcBorders>
            <w:shd w:val="solid" w:color="FFFFFF" w:fill="auto"/>
            <w:vAlign w:val="center"/>
          </w:tcPr>
          <w:p w:rsidR="001B212B" w:rsidRPr="001B212B" w:rsidRDefault="001B212B" w:rsidP="009A1FD2">
            <w:pPr>
              <w:autoSpaceDE w:val="0"/>
              <w:autoSpaceDN w:val="0"/>
              <w:adjustRightInd w:val="0"/>
              <w:rPr>
                <w:rFonts w:ascii="Arial" w:hAnsi="Arial" w:cs="Arial"/>
                <w:b/>
                <w:bCs/>
                <w:color w:val="FF0000"/>
                <w:sz w:val="20"/>
                <w:szCs w:val="20"/>
              </w:rPr>
            </w:pPr>
          </w:p>
        </w:tc>
        <w:tc>
          <w:tcPr>
            <w:tcW w:w="286" w:type="dxa"/>
            <w:tcBorders>
              <w:top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color w:val="FF0000"/>
                <w:sz w:val="20"/>
                <w:szCs w:val="20"/>
              </w:rPr>
            </w:pPr>
          </w:p>
        </w:tc>
        <w:tc>
          <w:tcPr>
            <w:tcW w:w="1427" w:type="dxa"/>
            <w:tcBorders>
              <w:top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b/>
                <w:color w:val="FF0000"/>
                <w:sz w:val="20"/>
                <w:szCs w:val="20"/>
              </w:rPr>
            </w:pPr>
          </w:p>
        </w:tc>
        <w:tc>
          <w:tcPr>
            <w:tcW w:w="287" w:type="dxa"/>
            <w:tcBorders>
              <w:top w:val="single" w:sz="4" w:space="0" w:color="auto"/>
            </w:tcBorders>
            <w:shd w:val="solid" w:color="FFFFFF" w:fill="auto"/>
          </w:tcPr>
          <w:p w:rsidR="001B212B" w:rsidRPr="001B212B" w:rsidRDefault="001B212B" w:rsidP="009A1FD2">
            <w:pPr>
              <w:autoSpaceDE w:val="0"/>
              <w:autoSpaceDN w:val="0"/>
              <w:adjustRightInd w:val="0"/>
              <w:jc w:val="right"/>
              <w:rPr>
                <w:rFonts w:ascii="Arial" w:hAnsi="Arial" w:cs="Arial"/>
                <w:b/>
                <w:bCs/>
                <w:color w:val="FF0000"/>
                <w:sz w:val="20"/>
                <w:szCs w:val="20"/>
              </w:rPr>
            </w:pPr>
          </w:p>
        </w:tc>
        <w:tc>
          <w:tcPr>
            <w:tcW w:w="1067" w:type="dxa"/>
            <w:tcBorders>
              <w:top w:val="single" w:sz="4" w:space="0" w:color="auto"/>
            </w:tcBorders>
            <w:shd w:val="solid" w:color="FFFFFF" w:fill="auto"/>
          </w:tcPr>
          <w:p w:rsidR="001B212B" w:rsidRPr="001B212B" w:rsidRDefault="001B212B" w:rsidP="009A1FD2">
            <w:pPr>
              <w:autoSpaceDE w:val="0"/>
              <w:autoSpaceDN w:val="0"/>
              <w:adjustRightInd w:val="0"/>
              <w:jc w:val="right"/>
              <w:rPr>
                <w:rFonts w:ascii="Arial" w:hAnsi="Arial" w:cs="Arial"/>
                <w:b/>
                <w:bCs/>
                <w:color w:val="FF0000"/>
                <w:sz w:val="20"/>
                <w:szCs w:val="20"/>
              </w:rPr>
            </w:pPr>
          </w:p>
        </w:tc>
        <w:tc>
          <w:tcPr>
            <w:tcW w:w="287" w:type="dxa"/>
            <w:tcBorders>
              <w:top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b/>
                <w:bCs/>
                <w:color w:val="FF0000"/>
                <w:sz w:val="20"/>
                <w:szCs w:val="20"/>
              </w:rPr>
            </w:pPr>
          </w:p>
        </w:tc>
        <w:tc>
          <w:tcPr>
            <w:tcW w:w="1570" w:type="dxa"/>
            <w:tcBorders>
              <w:top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b/>
                <w:bCs/>
                <w:color w:val="FF0000"/>
                <w:sz w:val="20"/>
                <w:szCs w:val="20"/>
              </w:rPr>
            </w:pPr>
          </w:p>
        </w:tc>
        <w:tc>
          <w:tcPr>
            <w:tcW w:w="286" w:type="dxa"/>
            <w:tcBorders>
              <w:top w:val="single" w:sz="4" w:space="0" w:color="auto"/>
            </w:tcBorders>
            <w:shd w:val="solid" w:color="FFFFFF" w:fill="auto"/>
            <w:vAlign w:val="center"/>
          </w:tcPr>
          <w:p w:rsidR="001B212B" w:rsidRPr="001B212B" w:rsidRDefault="001B212B" w:rsidP="009A1FD2">
            <w:pPr>
              <w:jc w:val="right"/>
              <w:rPr>
                <w:rFonts w:ascii="Arial" w:hAnsi="Arial" w:cs="Arial"/>
                <w:b/>
                <w:bCs/>
                <w:color w:val="FF0000"/>
                <w:sz w:val="20"/>
                <w:szCs w:val="20"/>
              </w:rPr>
            </w:pPr>
          </w:p>
        </w:tc>
        <w:tc>
          <w:tcPr>
            <w:tcW w:w="857" w:type="dxa"/>
            <w:tcBorders>
              <w:top w:val="single" w:sz="4" w:space="0" w:color="auto"/>
            </w:tcBorders>
            <w:shd w:val="solid" w:color="FFFFFF" w:fill="auto"/>
            <w:vAlign w:val="center"/>
          </w:tcPr>
          <w:p w:rsidR="001B212B" w:rsidRPr="001B212B" w:rsidRDefault="001B212B" w:rsidP="009A1FD2">
            <w:pPr>
              <w:jc w:val="right"/>
              <w:rPr>
                <w:rFonts w:ascii="Arial" w:hAnsi="Arial" w:cs="Arial"/>
                <w:b/>
                <w:bCs/>
                <w:color w:val="FF0000"/>
                <w:sz w:val="20"/>
                <w:szCs w:val="20"/>
              </w:rPr>
            </w:pPr>
          </w:p>
        </w:tc>
        <w:tc>
          <w:tcPr>
            <w:tcW w:w="286" w:type="dxa"/>
            <w:tcBorders>
              <w:top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b/>
                <w:bCs/>
                <w:color w:val="FF0000"/>
                <w:sz w:val="20"/>
                <w:szCs w:val="20"/>
              </w:rPr>
            </w:pPr>
          </w:p>
        </w:tc>
        <w:tc>
          <w:tcPr>
            <w:tcW w:w="1569" w:type="dxa"/>
            <w:tcBorders>
              <w:top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color w:val="FF0000"/>
                <w:sz w:val="20"/>
                <w:szCs w:val="20"/>
              </w:rPr>
            </w:pPr>
          </w:p>
        </w:tc>
        <w:tc>
          <w:tcPr>
            <w:tcW w:w="287" w:type="dxa"/>
            <w:tcBorders>
              <w:top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b/>
                <w:bCs/>
                <w:color w:val="FF0000"/>
                <w:sz w:val="20"/>
                <w:szCs w:val="20"/>
              </w:rPr>
            </w:pPr>
          </w:p>
        </w:tc>
        <w:tc>
          <w:tcPr>
            <w:tcW w:w="1337" w:type="dxa"/>
            <w:tcBorders>
              <w:top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b/>
                <w:bCs/>
                <w:color w:val="FF0000"/>
                <w:sz w:val="20"/>
                <w:szCs w:val="20"/>
              </w:rPr>
            </w:pPr>
          </w:p>
        </w:tc>
        <w:tc>
          <w:tcPr>
            <w:tcW w:w="281" w:type="dxa"/>
            <w:tcBorders>
              <w:top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b/>
                <w:bCs/>
                <w:color w:val="FF0000"/>
                <w:sz w:val="20"/>
                <w:szCs w:val="20"/>
              </w:rPr>
            </w:pPr>
          </w:p>
        </w:tc>
        <w:tc>
          <w:tcPr>
            <w:tcW w:w="572" w:type="dxa"/>
            <w:tcBorders>
              <w:top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b/>
                <w:bCs/>
                <w:color w:val="FF0000"/>
                <w:sz w:val="20"/>
                <w:szCs w:val="20"/>
              </w:rPr>
            </w:pPr>
          </w:p>
        </w:tc>
        <w:tc>
          <w:tcPr>
            <w:tcW w:w="287" w:type="dxa"/>
            <w:tcBorders>
              <w:top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b/>
                <w:bCs/>
                <w:color w:val="FF0000"/>
                <w:sz w:val="20"/>
                <w:szCs w:val="20"/>
              </w:rPr>
            </w:pPr>
          </w:p>
        </w:tc>
        <w:tc>
          <w:tcPr>
            <w:tcW w:w="1348" w:type="dxa"/>
            <w:tcBorders>
              <w:top w:val="single" w:sz="4" w:space="0" w:color="auto"/>
            </w:tcBorders>
            <w:shd w:val="solid" w:color="FFFFFF" w:fill="auto"/>
            <w:vAlign w:val="center"/>
          </w:tcPr>
          <w:p w:rsidR="001B212B" w:rsidRPr="001B212B" w:rsidRDefault="001B212B" w:rsidP="009A1FD2">
            <w:pPr>
              <w:autoSpaceDE w:val="0"/>
              <w:autoSpaceDN w:val="0"/>
              <w:adjustRightInd w:val="0"/>
              <w:jc w:val="right"/>
              <w:rPr>
                <w:rFonts w:ascii="Arial" w:hAnsi="Arial" w:cs="Arial"/>
                <w:b/>
                <w:bCs/>
                <w:color w:val="FF0000"/>
                <w:sz w:val="20"/>
                <w:szCs w:val="20"/>
              </w:rPr>
            </w:pPr>
          </w:p>
        </w:tc>
      </w:tr>
    </w:tbl>
    <w:p w:rsidR="001B212B" w:rsidRPr="001B212B" w:rsidRDefault="001B212B" w:rsidP="001B212B">
      <w:pPr>
        <w:rPr>
          <w:rFonts w:ascii="Arial" w:hAnsi="Arial" w:cs="Arial"/>
          <w:sz w:val="20"/>
          <w:szCs w:val="20"/>
        </w:rPr>
      </w:pPr>
      <w:r w:rsidRPr="001B212B">
        <w:rPr>
          <w:rFonts w:ascii="Arial" w:hAnsi="Arial" w:cs="Arial"/>
          <w:sz w:val="20"/>
          <w:szCs w:val="20"/>
        </w:rPr>
        <w:t>Note: Total may not sum correctly due to rounding</w:t>
      </w:r>
    </w:p>
    <w:p w:rsidR="001B212B" w:rsidRPr="001B212B" w:rsidRDefault="001B212B" w:rsidP="001B212B">
      <w:pPr>
        <w:rPr>
          <w:rFonts w:ascii="Arial" w:hAnsi="Arial" w:cs="Arial"/>
          <w:sz w:val="20"/>
          <w:szCs w:val="20"/>
        </w:rPr>
      </w:pPr>
      <w:r w:rsidRPr="001B212B">
        <w:rPr>
          <w:rFonts w:ascii="Arial" w:hAnsi="Arial" w:cs="Arial"/>
          <w:sz w:val="20"/>
          <w:szCs w:val="20"/>
        </w:rPr>
        <w:t>1</w:t>
      </w:r>
      <w:r w:rsidR="001A7A91">
        <w:rPr>
          <w:rFonts w:ascii="Arial" w:hAnsi="Arial" w:cs="Arial"/>
          <w:sz w:val="20"/>
          <w:szCs w:val="20"/>
        </w:rPr>
        <w:t xml:space="preserve">.  </w:t>
      </w:r>
      <w:r w:rsidRPr="001B212B">
        <w:rPr>
          <w:rFonts w:ascii="Arial" w:hAnsi="Arial" w:cs="Arial"/>
          <w:sz w:val="20"/>
          <w:szCs w:val="20"/>
        </w:rPr>
        <w:t>2018-19 AEF adjusted transfers of £12.069m (at 2018-19 prices) into the Settlement and inclusive of £807 thousand of top-up funding provided in 2018-19.</w:t>
      </w:r>
    </w:p>
    <w:p w:rsidR="00D264AC" w:rsidRPr="00D851BD" w:rsidRDefault="001B212B" w:rsidP="00D851BD">
      <w:pPr>
        <w:ind w:left="1134" w:hanging="1134"/>
        <w:rPr>
          <w:rFonts w:ascii="Arial" w:hAnsi="Arial" w:cs="Arial"/>
          <w:sz w:val="20"/>
          <w:szCs w:val="20"/>
        </w:rPr>
      </w:pPr>
      <w:r w:rsidRPr="001B212B">
        <w:rPr>
          <w:rFonts w:ascii="Arial" w:hAnsi="Arial" w:cs="Arial"/>
          <w:sz w:val="20"/>
          <w:szCs w:val="20"/>
        </w:rPr>
        <w:t>2</w:t>
      </w:r>
      <w:r w:rsidR="001A7A91">
        <w:rPr>
          <w:rFonts w:ascii="Arial" w:hAnsi="Arial" w:cs="Arial"/>
          <w:sz w:val="20"/>
          <w:szCs w:val="20"/>
        </w:rPr>
        <w:t xml:space="preserve">.  </w:t>
      </w:r>
      <w:r w:rsidRPr="001B212B">
        <w:rPr>
          <w:rFonts w:ascii="Arial" w:hAnsi="Arial" w:cs="Arial"/>
          <w:sz w:val="20"/>
          <w:szCs w:val="20"/>
        </w:rPr>
        <w:t>2019-20 Provisional AEF including £2.495m top-up funding.</w:t>
      </w:r>
    </w:p>
    <w:sectPr w:rsidR="00D264AC" w:rsidRPr="00D851BD" w:rsidSect="00CB7273">
      <w:pgSz w:w="16838" w:h="11906" w:orient="landscape" w:code="9"/>
      <w:pgMar w:top="1134" w:right="1134"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D33" w:rsidRDefault="00D25D33" w:rsidP="00440476">
      <w:r>
        <w:separator/>
      </w:r>
    </w:p>
  </w:endnote>
  <w:endnote w:type="continuationSeparator" w:id="0">
    <w:p w:rsidR="00D25D33" w:rsidRDefault="00D25D33" w:rsidP="00440476">
      <w:r>
        <w:continuationSeparator/>
      </w:r>
    </w:p>
  </w:endnote>
  <w:endnote w:type="continuationNotice" w:id="1">
    <w:p w:rsidR="00D25D33" w:rsidRDefault="00D25D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Gothic">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44D" w:rsidRPr="00436D75" w:rsidRDefault="00B2244D" w:rsidP="00436D75">
    <w:pPr>
      <w:pStyle w:val="Footer"/>
      <w:jc w:val="center"/>
      <w:rPr>
        <w:rFonts w:ascii="Arial" w:hAnsi="Arial" w:cs="Arial"/>
        <w:b/>
        <w:sz w:val="20"/>
        <w:szCs w:val="20"/>
      </w:rPr>
    </w:pPr>
    <w:r w:rsidRPr="00440476">
      <w:rPr>
        <w:rFonts w:ascii="Arial" w:hAnsi="Arial" w:cs="Arial"/>
        <w:b/>
        <w:sz w:val="20"/>
        <w:szCs w:val="20"/>
      </w:rPr>
      <w:fldChar w:fldCharType="begin"/>
    </w:r>
    <w:r w:rsidRPr="00440476">
      <w:rPr>
        <w:rFonts w:ascii="Arial" w:hAnsi="Arial" w:cs="Arial"/>
        <w:b/>
        <w:sz w:val="20"/>
        <w:szCs w:val="20"/>
      </w:rPr>
      <w:instrText xml:space="preserve"> PAGE   \* MERGEFORMAT </w:instrText>
    </w:r>
    <w:r w:rsidRPr="00440476">
      <w:rPr>
        <w:rFonts w:ascii="Arial" w:hAnsi="Arial" w:cs="Arial"/>
        <w:b/>
        <w:sz w:val="20"/>
        <w:szCs w:val="20"/>
      </w:rPr>
      <w:fldChar w:fldCharType="separate"/>
    </w:r>
    <w:r w:rsidR="00562F2D">
      <w:rPr>
        <w:rFonts w:ascii="Arial" w:hAnsi="Arial" w:cs="Arial"/>
        <w:b/>
        <w:noProof/>
        <w:sz w:val="20"/>
        <w:szCs w:val="20"/>
      </w:rPr>
      <w:t>1</w:t>
    </w:r>
    <w:r w:rsidRPr="00440476">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D33" w:rsidRDefault="00D25D33" w:rsidP="00440476">
      <w:r>
        <w:separator/>
      </w:r>
    </w:p>
  </w:footnote>
  <w:footnote w:type="continuationSeparator" w:id="0">
    <w:p w:rsidR="00D25D33" w:rsidRDefault="00D25D33" w:rsidP="00440476">
      <w:r>
        <w:continuationSeparator/>
      </w:r>
    </w:p>
  </w:footnote>
  <w:footnote w:type="continuationNotice" w:id="1">
    <w:p w:rsidR="00D25D33" w:rsidRDefault="00D25D3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5630E"/>
    <w:multiLevelType w:val="hybridMultilevel"/>
    <w:tmpl w:val="0860A1D8"/>
    <w:lvl w:ilvl="0" w:tplc="74A44D56">
      <w:start w:val="1"/>
      <w:numFmt w:val="bullet"/>
      <w:lvlText w:val=""/>
      <w:lvlJc w:val="left"/>
      <w:pPr>
        <w:ind w:left="720" w:hanging="360"/>
      </w:pPr>
      <w:rPr>
        <w:rFonts w:ascii="Symbol" w:hAnsi="Symbol" w:hint="default"/>
        <w:b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B49AB"/>
    <w:multiLevelType w:val="hybridMultilevel"/>
    <w:tmpl w:val="AD96C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823CC6"/>
    <w:multiLevelType w:val="hybridMultilevel"/>
    <w:tmpl w:val="E8602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6F5984"/>
    <w:multiLevelType w:val="hybridMultilevel"/>
    <w:tmpl w:val="D4E84B00"/>
    <w:lvl w:ilvl="0" w:tplc="EBC479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1B57E3"/>
    <w:multiLevelType w:val="hybridMultilevel"/>
    <w:tmpl w:val="DC90F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4A13F8A"/>
    <w:multiLevelType w:val="hybridMultilevel"/>
    <w:tmpl w:val="865E2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C1"/>
    <w:rsid w:val="00001E87"/>
    <w:rsid w:val="00002332"/>
    <w:rsid w:val="000023A1"/>
    <w:rsid w:val="00002834"/>
    <w:rsid w:val="00006119"/>
    <w:rsid w:val="000062FA"/>
    <w:rsid w:val="00006ED5"/>
    <w:rsid w:val="000072DD"/>
    <w:rsid w:val="00014CA7"/>
    <w:rsid w:val="00016B64"/>
    <w:rsid w:val="000177E1"/>
    <w:rsid w:val="00017953"/>
    <w:rsid w:val="0002061C"/>
    <w:rsid w:val="0002625B"/>
    <w:rsid w:val="000267D5"/>
    <w:rsid w:val="00027D0A"/>
    <w:rsid w:val="00032808"/>
    <w:rsid w:val="00032A34"/>
    <w:rsid w:val="000353E9"/>
    <w:rsid w:val="00037C54"/>
    <w:rsid w:val="000405F8"/>
    <w:rsid w:val="00040BA7"/>
    <w:rsid w:val="00044C57"/>
    <w:rsid w:val="00044CD3"/>
    <w:rsid w:val="00045024"/>
    <w:rsid w:val="000469D5"/>
    <w:rsid w:val="000478E0"/>
    <w:rsid w:val="0005016E"/>
    <w:rsid w:val="00051A00"/>
    <w:rsid w:val="000548D9"/>
    <w:rsid w:val="00055B4F"/>
    <w:rsid w:val="000571E6"/>
    <w:rsid w:val="00057F04"/>
    <w:rsid w:val="0006067F"/>
    <w:rsid w:val="0006069D"/>
    <w:rsid w:val="00061AB9"/>
    <w:rsid w:val="0006273D"/>
    <w:rsid w:val="00062DA1"/>
    <w:rsid w:val="00066F8B"/>
    <w:rsid w:val="000702E5"/>
    <w:rsid w:val="000708CE"/>
    <w:rsid w:val="000719DE"/>
    <w:rsid w:val="00072A1B"/>
    <w:rsid w:val="00072DA0"/>
    <w:rsid w:val="00073055"/>
    <w:rsid w:val="0007452E"/>
    <w:rsid w:val="000745D5"/>
    <w:rsid w:val="00074749"/>
    <w:rsid w:val="0008066F"/>
    <w:rsid w:val="00080E21"/>
    <w:rsid w:val="00080E66"/>
    <w:rsid w:val="0008166F"/>
    <w:rsid w:val="00081D27"/>
    <w:rsid w:val="000828A3"/>
    <w:rsid w:val="000874B3"/>
    <w:rsid w:val="00090B7E"/>
    <w:rsid w:val="00090D27"/>
    <w:rsid w:val="000911A3"/>
    <w:rsid w:val="0009126C"/>
    <w:rsid w:val="00091483"/>
    <w:rsid w:val="000935D5"/>
    <w:rsid w:val="000937D5"/>
    <w:rsid w:val="00093989"/>
    <w:rsid w:val="000950E4"/>
    <w:rsid w:val="00097130"/>
    <w:rsid w:val="000A10BD"/>
    <w:rsid w:val="000A1423"/>
    <w:rsid w:val="000A2407"/>
    <w:rsid w:val="000A3D49"/>
    <w:rsid w:val="000A6125"/>
    <w:rsid w:val="000A7AAD"/>
    <w:rsid w:val="000B0562"/>
    <w:rsid w:val="000B1879"/>
    <w:rsid w:val="000B63CB"/>
    <w:rsid w:val="000B7C55"/>
    <w:rsid w:val="000C1110"/>
    <w:rsid w:val="000D0519"/>
    <w:rsid w:val="000D1BA1"/>
    <w:rsid w:val="000D1DA0"/>
    <w:rsid w:val="000D5B79"/>
    <w:rsid w:val="000E01EC"/>
    <w:rsid w:val="000E048B"/>
    <w:rsid w:val="000E5436"/>
    <w:rsid w:val="000E753D"/>
    <w:rsid w:val="000F1C82"/>
    <w:rsid w:val="000F3AC4"/>
    <w:rsid w:val="000F463D"/>
    <w:rsid w:val="000F60EA"/>
    <w:rsid w:val="000F75F3"/>
    <w:rsid w:val="00100CE8"/>
    <w:rsid w:val="00102665"/>
    <w:rsid w:val="0010397C"/>
    <w:rsid w:val="00105CA8"/>
    <w:rsid w:val="00105E2A"/>
    <w:rsid w:val="00111D0C"/>
    <w:rsid w:val="001141DF"/>
    <w:rsid w:val="001158C2"/>
    <w:rsid w:val="0011633E"/>
    <w:rsid w:val="001177F0"/>
    <w:rsid w:val="00117C9D"/>
    <w:rsid w:val="0012272A"/>
    <w:rsid w:val="00123A8B"/>
    <w:rsid w:val="00124AF1"/>
    <w:rsid w:val="0013151F"/>
    <w:rsid w:val="00131816"/>
    <w:rsid w:val="00132684"/>
    <w:rsid w:val="00132C4F"/>
    <w:rsid w:val="00135EBA"/>
    <w:rsid w:val="001360DE"/>
    <w:rsid w:val="001379D1"/>
    <w:rsid w:val="00140474"/>
    <w:rsid w:val="00141171"/>
    <w:rsid w:val="001416E4"/>
    <w:rsid w:val="00142F8B"/>
    <w:rsid w:val="00143C35"/>
    <w:rsid w:val="00145EF1"/>
    <w:rsid w:val="0014668A"/>
    <w:rsid w:val="0015050C"/>
    <w:rsid w:val="00154E32"/>
    <w:rsid w:val="00155E05"/>
    <w:rsid w:val="00157271"/>
    <w:rsid w:val="0016550D"/>
    <w:rsid w:val="00165ED3"/>
    <w:rsid w:val="00165FF8"/>
    <w:rsid w:val="00171099"/>
    <w:rsid w:val="0017227E"/>
    <w:rsid w:val="00174D76"/>
    <w:rsid w:val="00175290"/>
    <w:rsid w:val="0018109F"/>
    <w:rsid w:val="00183748"/>
    <w:rsid w:val="001906D8"/>
    <w:rsid w:val="001927F0"/>
    <w:rsid w:val="0019290A"/>
    <w:rsid w:val="00192A8B"/>
    <w:rsid w:val="00197FAB"/>
    <w:rsid w:val="001A5C5C"/>
    <w:rsid w:val="001A7A91"/>
    <w:rsid w:val="001B1932"/>
    <w:rsid w:val="001B212B"/>
    <w:rsid w:val="001B4C9E"/>
    <w:rsid w:val="001B55D5"/>
    <w:rsid w:val="001B56DF"/>
    <w:rsid w:val="001B7588"/>
    <w:rsid w:val="001B7E4D"/>
    <w:rsid w:val="001C381F"/>
    <w:rsid w:val="001C3890"/>
    <w:rsid w:val="001C5E34"/>
    <w:rsid w:val="001D2B33"/>
    <w:rsid w:val="001D2B5C"/>
    <w:rsid w:val="001D3198"/>
    <w:rsid w:val="001E057A"/>
    <w:rsid w:val="001E26E9"/>
    <w:rsid w:val="001E597C"/>
    <w:rsid w:val="001F0E94"/>
    <w:rsid w:val="001F3748"/>
    <w:rsid w:val="001F7C5B"/>
    <w:rsid w:val="001F7E18"/>
    <w:rsid w:val="001F7E3D"/>
    <w:rsid w:val="00206BA2"/>
    <w:rsid w:val="0021037D"/>
    <w:rsid w:val="002146D4"/>
    <w:rsid w:val="00215FC1"/>
    <w:rsid w:val="0021646C"/>
    <w:rsid w:val="002208AF"/>
    <w:rsid w:val="00222C32"/>
    <w:rsid w:val="002243D1"/>
    <w:rsid w:val="00226043"/>
    <w:rsid w:val="00226771"/>
    <w:rsid w:val="002267B5"/>
    <w:rsid w:val="0022717B"/>
    <w:rsid w:val="00232905"/>
    <w:rsid w:val="002365E5"/>
    <w:rsid w:val="002405AA"/>
    <w:rsid w:val="00250EBA"/>
    <w:rsid w:val="0025101E"/>
    <w:rsid w:val="00253EE6"/>
    <w:rsid w:val="0026279A"/>
    <w:rsid w:val="00262FDE"/>
    <w:rsid w:val="002651C1"/>
    <w:rsid w:val="002665D1"/>
    <w:rsid w:val="002670A4"/>
    <w:rsid w:val="002711BC"/>
    <w:rsid w:val="00274E1D"/>
    <w:rsid w:val="00276B21"/>
    <w:rsid w:val="0027714E"/>
    <w:rsid w:val="0027769C"/>
    <w:rsid w:val="00281FF2"/>
    <w:rsid w:val="00283100"/>
    <w:rsid w:val="0028634C"/>
    <w:rsid w:val="00286AF7"/>
    <w:rsid w:val="002875DA"/>
    <w:rsid w:val="00287C5B"/>
    <w:rsid w:val="00287E8E"/>
    <w:rsid w:val="00290B18"/>
    <w:rsid w:val="00291622"/>
    <w:rsid w:val="00291A8A"/>
    <w:rsid w:val="00293524"/>
    <w:rsid w:val="002947D3"/>
    <w:rsid w:val="002A0B86"/>
    <w:rsid w:val="002A161B"/>
    <w:rsid w:val="002A33AF"/>
    <w:rsid w:val="002A4F7E"/>
    <w:rsid w:val="002A503D"/>
    <w:rsid w:val="002A6CC2"/>
    <w:rsid w:val="002B60C7"/>
    <w:rsid w:val="002C3009"/>
    <w:rsid w:val="002C3592"/>
    <w:rsid w:val="002C3EF6"/>
    <w:rsid w:val="002C50A4"/>
    <w:rsid w:val="002C7ECF"/>
    <w:rsid w:val="002D09CC"/>
    <w:rsid w:val="002D1E3A"/>
    <w:rsid w:val="002D1E9D"/>
    <w:rsid w:val="002E0C32"/>
    <w:rsid w:val="002E0F6B"/>
    <w:rsid w:val="002E1166"/>
    <w:rsid w:val="002E28D4"/>
    <w:rsid w:val="002E30D5"/>
    <w:rsid w:val="002E369D"/>
    <w:rsid w:val="002E37B9"/>
    <w:rsid w:val="002E585D"/>
    <w:rsid w:val="002F1F1F"/>
    <w:rsid w:val="002F34E8"/>
    <w:rsid w:val="002F6C40"/>
    <w:rsid w:val="002F6E76"/>
    <w:rsid w:val="002F7CC3"/>
    <w:rsid w:val="0030126C"/>
    <w:rsid w:val="0030727C"/>
    <w:rsid w:val="00311303"/>
    <w:rsid w:val="00313C45"/>
    <w:rsid w:val="00313E05"/>
    <w:rsid w:val="00315796"/>
    <w:rsid w:val="003171CC"/>
    <w:rsid w:val="00321201"/>
    <w:rsid w:val="00322F97"/>
    <w:rsid w:val="0033196A"/>
    <w:rsid w:val="00332FE0"/>
    <w:rsid w:val="003336A3"/>
    <w:rsid w:val="00333816"/>
    <w:rsid w:val="00337471"/>
    <w:rsid w:val="003404E8"/>
    <w:rsid w:val="00341241"/>
    <w:rsid w:val="00342128"/>
    <w:rsid w:val="003424B3"/>
    <w:rsid w:val="00346C90"/>
    <w:rsid w:val="003525CA"/>
    <w:rsid w:val="0035498C"/>
    <w:rsid w:val="00355DA0"/>
    <w:rsid w:val="00364E2B"/>
    <w:rsid w:val="0036713E"/>
    <w:rsid w:val="0037052A"/>
    <w:rsid w:val="00373147"/>
    <w:rsid w:val="00373A01"/>
    <w:rsid w:val="00373C57"/>
    <w:rsid w:val="0037423F"/>
    <w:rsid w:val="00376B43"/>
    <w:rsid w:val="003771C5"/>
    <w:rsid w:val="00377E1D"/>
    <w:rsid w:val="0038032B"/>
    <w:rsid w:val="00381AB4"/>
    <w:rsid w:val="003821DD"/>
    <w:rsid w:val="00384C53"/>
    <w:rsid w:val="00386431"/>
    <w:rsid w:val="00390D8C"/>
    <w:rsid w:val="003917C2"/>
    <w:rsid w:val="00391B93"/>
    <w:rsid w:val="003926D9"/>
    <w:rsid w:val="00393A70"/>
    <w:rsid w:val="003944EB"/>
    <w:rsid w:val="00395437"/>
    <w:rsid w:val="00396A7B"/>
    <w:rsid w:val="003A3E91"/>
    <w:rsid w:val="003A59CA"/>
    <w:rsid w:val="003A5CE2"/>
    <w:rsid w:val="003A5EF8"/>
    <w:rsid w:val="003A695B"/>
    <w:rsid w:val="003A7FCD"/>
    <w:rsid w:val="003B11C4"/>
    <w:rsid w:val="003B1E03"/>
    <w:rsid w:val="003B4613"/>
    <w:rsid w:val="003B67F5"/>
    <w:rsid w:val="003B6B9F"/>
    <w:rsid w:val="003C10B3"/>
    <w:rsid w:val="003C2013"/>
    <w:rsid w:val="003C30C5"/>
    <w:rsid w:val="003C35F6"/>
    <w:rsid w:val="003C45FD"/>
    <w:rsid w:val="003C4825"/>
    <w:rsid w:val="003C5F28"/>
    <w:rsid w:val="003C64DF"/>
    <w:rsid w:val="003D1EA3"/>
    <w:rsid w:val="003D39F1"/>
    <w:rsid w:val="003D3B6D"/>
    <w:rsid w:val="003D4B6A"/>
    <w:rsid w:val="003D5B19"/>
    <w:rsid w:val="003D5C0E"/>
    <w:rsid w:val="003D78A1"/>
    <w:rsid w:val="003E005C"/>
    <w:rsid w:val="003E0A2B"/>
    <w:rsid w:val="003E7DA2"/>
    <w:rsid w:val="003F39F0"/>
    <w:rsid w:val="003F3F6F"/>
    <w:rsid w:val="003F56FB"/>
    <w:rsid w:val="003F71C4"/>
    <w:rsid w:val="00405141"/>
    <w:rsid w:val="00405902"/>
    <w:rsid w:val="004061A2"/>
    <w:rsid w:val="00407F2C"/>
    <w:rsid w:val="0041242F"/>
    <w:rsid w:val="0041344D"/>
    <w:rsid w:val="00416CAE"/>
    <w:rsid w:val="00417194"/>
    <w:rsid w:val="0041733E"/>
    <w:rsid w:val="004222D2"/>
    <w:rsid w:val="00422E6F"/>
    <w:rsid w:val="00423FBF"/>
    <w:rsid w:val="004252AB"/>
    <w:rsid w:val="0042707B"/>
    <w:rsid w:val="00430D48"/>
    <w:rsid w:val="00432FAC"/>
    <w:rsid w:val="0043552D"/>
    <w:rsid w:val="004364AE"/>
    <w:rsid w:val="00436D75"/>
    <w:rsid w:val="0044006A"/>
    <w:rsid w:val="0044041A"/>
    <w:rsid w:val="00440476"/>
    <w:rsid w:val="00441384"/>
    <w:rsid w:val="004417CC"/>
    <w:rsid w:val="00442335"/>
    <w:rsid w:val="00445638"/>
    <w:rsid w:val="004457EA"/>
    <w:rsid w:val="00446236"/>
    <w:rsid w:val="00447975"/>
    <w:rsid w:val="0045016E"/>
    <w:rsid w:val="00450A1C"/>
    <w:rsid w:val="004518B7"/>
    <w:rsid w:val="00455230"/>
    <w:rsid w:val="00456AFD"/>
    <w:rsid w:val="00460801"/>
    <w:rsid w:val="00461519"/>
    <w:rsid w:val="00461754"/>
    <w:rsid w:val="004618AB"/>
    <w:rsid w:val="004624A1"/>
    <w:rsid w:val="00462D5E"/>
    <w:rsid w:val="00471C68"/>
    <w:rsid w:val="00471EE6"/>
    <w:rsid w:val="00474B04"/>
    <w:rsid w:val="004750FE"/>
    <w:rsid w:val="00477C07"/>
    <w:rsid w:val="00484482"/>
    <w:rsid w:val="0048511A"/>
    <w:rsid w:val="0048690B"/>
    <w:rsid w:val="00490E23"/>
    <w:rsid w:val="00492011"/>
    <w:rsid w:val="00492A9E"/>
    <w:rsid w:val="00492B85"/>
    <w:rsid w:val="00492BA2"/>
    <w:rsid w:val="004953EE"/>
    <w:rsid w:val="00497472"/>
    <w:rsid w:val="004A10B3"/>
    <w:rsid w:val="004A269D"/>
    <w:rsid w:val="004B0617"/>
    <w:rsid w:val="004B0A74"/>
    <w:rsid w:val="004B37B0"/>
    <w:rsid w:val="004B4A7B"/>
    <w:rsid w:val="004B5507"/>
    <w:rsid w:val="004B773E"/>
    <w:rsid w:val="004B7E16"/>
    <w:rsid w:val="004C1495"/>
    <w:rsid w:val="004C2AFB"/>
    <w:rsid w:val="004C343D"/>
    <w:rsid w:val="004C686D"/>
    <w:rsid w:val="004D0089"/>
    <w:rsid w:val="004D023B"/>
    <w:rsid w:val="004D36F1"/>
    <w:rsid w:val="004D3A46"/>
    <w:rsid w:val="004D3EB6"/>
    <w:rsid w:val="004D6819"/>
    <w:rsid w:val="004E26E8"/>
    <w:rsid w:val="004E386A"/>
    <w:rsid w:val="004E49CD"/>
    <w:rsid w:val="004F614C"/>
    <w:rsid w:val="005027D0"/>
    <w:rsid w:val="0050282B"/>
    <w:rsid w:val="00505A72"/>
    <w:rsid w:val="00505CD6"/>
    <w:rsid w:val="00507DBE"/>
    <w:rsid w:val="0051226C"/>
    <w:rsid w:val="00512ED1"/>
    <w:rsid w:val="005135D5"/>
    <w:rsid w:val="0051411C"/>
    <w:rsid w:val="00514F3D"/>
    <w:rsid w:val="00516665"/>
    <w:rsid w:val="00517846"/>
    <w:rsid w:val="00521C6A"/>
    <w:rsid w:val="00524975"/>
    <w:rsid w:val="005302B1"/>
    <w:rsid w:val="0053061E"/>
    <w:rsid w:val="0053236A"/>
    <w:rsid w:val="0053395E"/>
    <w:rsid w:val="00534AD0"/>
    <w:rsid w:val="005373D4"/>
    <w:rsid w:val="00541D40"/>
    <w:rsid w:val="00542024"/>
    <w:rsid w:val="0054464A"/>
    <w:rsid w:val="00546B3B"/>
    <w:rsid w:val="00551508"/>
    <w:rsid w:val="00552925"/>
    <w:rsid w:val="00552EEE"/>
    <w:rsid w:val="00553463"/>
    <w:rsid w:val="00553A69"/>
    <w:rsid w:val="00560089"/>
    <w:rsid w:val="00560ACF"/>
    <w:rsid w:val="00560DB2"/>
    <w:rsid w:val="00562F2D"/>
    <w:rsid w:val="00563B60"/>
    <w:rsid w:val="0056613D"/>
    <w:rsid w:val="0056741F"/>
    <w:rsid w:val="005705D8"/>
    <w:rsid w:val="0057083B"/>
    <w:rsid w:val="00570987"/>
    <w:rsid w:val="00572927"/>
    <w:rsid w:val="00572EBA"/>
    <w:rsid w:val="00574CCC"/>
    <w:rsid w:val="005758DF"/>
    <w:rsid w:val="00580D52"/>
    <w:rsid w:val="00580ECC"/>
    <w:rsid w:val="00581237"/>
    <w:rsid w:val="00582F4F"/>
    <w:rsid w:val="00584701"/>
    <w:rsid w:val="00595451"/>
    <w:rsid w:val="005A0508"/>
    <w:rsid w:val="005A2291"/>
    <w:rsid w:val="005A3037"/>
    <w:rsid w:val="005A363A"/>
    <w:rsid w:val="005A7BBC"/>
    <w:rsid w:val="005B3D96"/>
    <w:rsid w:val="005B3FF2"/>
    <w:rsid w:val="005B591A"/>
    <w:rsid w:val="005B607C"/>
    <w:rsid w:val="005B6DCA"/>
    <w:rsid w:val="005B78FF"/>
    <w:rsid w:val="005C328D"/>
    <w:rsid w:val="005C5EDC"/>
    <w:rsid w:val="005C6C89"/>
    <w:rsid w:val="005C747A"/>
    <w:rsid w:val="005D2DF6"/>
    <w:rsid w:val="005D3FF8"/>
    <w:rsid w:val="005D63EE"/>
    <w:rsid w:val="005D7B3D"/>
    <w:rsid w:val="005E0192"/>
    <w:rsid w:val="005E23A6"/>
    <w:rsid w:val="005E34DA"/>
    <w:rsid w:val="005E4CFB"/>
    <w:rsid w:val="005E6555"/>
    <w:rsid w:val="005F0A2F"/>
    <w:rsid w:val="005F1571"/>
    <w:rsid w:val="005F316F"/>
    <w:rsid w:val="005F3C9A"/>
    <w:rsid w:val="005F77ED"/>
    <w:rsid w:val="0060171B"/>
    <w:rsid w:val="00601D94"/>
    <w:rsid w:val="006044DC"/>
    <w:rsid w:val="006046B2"/>
    <w:rsid w:val="00604B68"/>
    <w:rsid w:val="00605CBC"/>
    <w:rsid w:val="006065B2"/>
    <w:rsid w:val="00614F2B"/>
    <w:rsid w:val="00617C57"/>
    <w:rsid w:val="0062402C"/>
    <w:rsid w:val="006256B4"/>
    <w:rsid w:val="006267AF"/>
    <w:rsid w:val="00626B32"/>
    <w:rsid w:val="00626D86"/>
    <w:rsid w:val="00630942"/>
    <w:rsid w:val="00633306"/>
    <w:rsid w:val="00633E1B"/>
    <w:rsid w:val="006346B3"/>
    <w:rsid w:val="00635935"/>
    <w:rsid w:val="0063616C"/>
    <w:rsid w:val="006367C9"/>
    <w:rsid w:val="0063696F"/>
    <w:rsid w:val="00636A88"/>
    <w:rsid w:val="0063785F"/>
    <w:rsid w:val="0064150A"/>
    <w:rsid w:val="006421D8"/>
    <w:rsid w:val="006433EB"/>
    <w:rsid w:val="00645038"/>
    <w:rsid w:val="0064643D"/>
    <w:rsid w:val="00650626"/>
    <w:rsid w:val="00650ADA"/>
    <w:rsid w:val="006512C8"/>
    <w:rsid w:val="006523B3"/>
    <w:rsid w:val="006575C0"/>
    <w:rsid w:val="00657BEF"/>
    <w:rsid w:val="00660468"/>
    <w:rsid w:val="00661F7D"/>
    <w:rsid w:val="00666717"/>
    <w:rsid w:val="00666A56"/>
    <w:rsid w:val="00666CC1"/>
    <w:rsid w:val="00671C25"/>
    <w:rsid w:val="00672DE9"/>
    <w:rsid w:val="006739BA"/>
    <w:rsid w:val="006748E5"/>
    <w:rsid w:val="006759E4"/>
    <w:rsid w:val="00683018"/>
    <w:rsid w:val="00683FCE"/>
    <w:rsid w:val="00684496"/>
    <w:rsid w:val="006847AA"/>
    <w:rsid w:val="00684ADC"/>
    <w:rsid w:val="00692C5F"/>
    <w:rsid w:val="00694157"/>
    <w:rsid w:val="00694D9D"/>
    <w:rsid w:val="006A0211"/>
    <w:rsid w:val="006A1605"/>
    <w:rsid w:val="006A297A"/>
    <w:rsid w:val="006A3328"/>
    <w:rsid w:val="006B1B31"/>
    <w:rsid w:val="006B34AE"/>
    <w:rsid w:val="006B3BD9"/>
    <w:rsid w:val="006B5132"/>
    <w:rsid w:val="006B7174"/>
    <w:rsid w:val="006C0677"/>
    <w:rsid w:val="006C0854"/>
    <w:rsid w:val="006C1FD0"/>
    <w:rsid w:val="006C3652"/>
    <w:rsid w:val="006C6DA2"/>
    <w:rsid w:val="006C7192"/>
    <w:rsid w:val="006C7DEF"/>
    <w:rsid w:val="006D1333"/>
    <w:rsid w:val="006D1CBD"/>
    <w:rsid w:val="006D2741"/>
    <w:rsid w:val="006D2BB7"/>
    <w:rsid w:val="006D456D"/>
    <w:rsid w:val="006E12D3"/>
    <w:rsid w:val="006E1336"/>
    <w:rsid w:val="006E1748"/>
    <w:rsid w:val="006E27E9"/>
    <w:rsid w:val="006E2E3B"/>
    <w:rsid w:val="006E3CCC"/>
    <w:rsid w:val="006E3E5E"/>
    <w:rsid w:val="006E3F51"/>
    <w:rsid w:val="006E4D9A"/>
    <w:rsid w:val="006E549F"/>
    <w:rsid w:val="006E6D71"/>
    <w:rsid w:val="006F13F8"/>
    <w:rsid w:val="006F3033"/>
    <w:rsid w:val="006F3E06"/>
    <w:rsid w:val="006F43F5"/>
    <w:rsid w:val="006F6E14"/>
    <w:rsid w:val="00703ECB"/>
    <w:rsid w:val="00706DD6"/>
    <w:rsid w:val="0071145E"/>
    <w:rsid w:val="00713758"/>
    <w:rsid w:val="00714232"/>
    <w:rsid w:val="00715DB4"/>
    <w:rsid w:val="007206D7"/>
    <w:rsid w:val="007224BB"/>
    <w:rsid w:val="007242A7"/>
    <w:rsid w:val="00730064"/>
    <w:rsid w:val="0073069E"/>
    <w:rsid w:val="007313B6"/>
    <w:rsid w:val="00732D93"/>
    <w:rsid w:val="00734852"/>
    <w:rsid w:val="007379A8"/>
    <w:rsid w:val="00741861"/>
    <w:rsid w:val="00743049"/>
    <w:rsid w:val="00743473"/>
    <w:rsid w:val="00743682"/>
    <w:rsid w:val="00743723"/>
    <w:rsid w:val="00746B6A"/>
    <w:rsid w:val="00750C51"/>
    <w:rsid w:val="00751286"/>
    <w:rsid w:val="00751CB6"/>
    <w:rsid w:val="007547BA"/>
    <w:rsid w:val="007556EA"/>
    <w:rsid w:val="00755BD8"/>
    <w:rsid w:val="00757C76"/>
    <w:rsid w:val="00765690"/>
    <w:rsid w:val="00765956"/>
    <w:rsid w:val="00766247"/>
    <w:rsid w:val="00767897"/>
    <w:rsid w:val="00773A10"/>
    <w:rsid w:val="00774705"/>
    <w:rsid w:val="007774FA"/>
    <w:rsid w:val="00780523"/>
    <w:rsid w:val="00780DA4"/>
    <w:rsid w:val="00781CC2"/>
    <w:rsid w:val="007851A5"/>
    <w:rsid w:val="00787A6C"/>
    <w:rsid w:val="00790759"/>
    <w:rsid w:val="00791F9C"/>
    <w:rsid w:val="00793DDB"/>
    <w:rsid w:val="0079584D"/>
    <w:rsid w:val="007963E0"/>
    <w:rsid w:val="007A1B2A"/>
    <w:rsid w:val="007A4614"/>
    <w:rsid w:val="007B0AA0"/>
    <w:rsid w:val="007B10CA"/>
    <w:rsid w:val="007B1D46"/>
    <w:rsid w:val="007B35F9"/>
    <w:rsid w:val="007B40D4"/>
    <w:rsid w:val="007B4F24"/>
    <w:rsid w:val="007C4D20"/>
    <w:rsid w:val="007C6EE5"/>
    <w:rsid w:val="007C73F0"/>
    <w:rsid w:val="007C769B"/>
    <w:rsid w:val="007D42E4"/>
    <w:rsid w:val="007D6B6A"/>
    <w:rsid w:val="007D7048"/>
    <w:rsid w:val="007D754C"/>
    <w:rsid w:val="007E07E1"/>
    <w:rsid w:val="007E14E5"/>
    <w:rsid w:val="007E2B6E"/>
    <w:rsid w:val="007E3942"/>
    <w:rsid w:val="007E397F"/>
    <w:rsid w:val="007E49F8"/>
    <w:rsid w:val="007E50B6"/>
    <w:rsid w:val="007F023A"/>
    <w:rsid w:val="007F06B1"/>
    <w:rsid w:val="007F06E4"/>
    <w:rsid w:val="007F1028"/>
    <w:rsid w:val="007F36E5"/>
    <w:rsid w:val="007F4E12"/>
    <w:rsid w:val="007F52F4"/>
    <w:rsid w:val="007F6BF0"/>
    <w:rsid w:val="007F76EF"/>
    <w:rsid w:val="00800680"/>
    <w:rsid w:val="00800A0C"/>
    <w:rsid w:val="00800B79"/>
    <w:rsid w:val="00801D81"/>
    <w:rsid w:val="00801F01"/>
    <w:rsid w:val="00805F3F"/>
    <w:rsid w:val="00807CE8"/>
    <w:rsid w:val="0081224B"/>
    <w:rsid w:val="008130FD"/>
    <w:rsid w:val="008133BA"/>
    <w:rsid w:val="00813C73"/>
    <w:rsid w:val="00814F68"/>
    <w:rsid w:val="00815F7C"/>
    <w:rsid w:val="00816F0E"/>
    <w:rsid w:val="0082039D"/>
    <w:rsid w:val="0082059D"/>
    <w:rsid w:val="00820653"/>
    <w:rsid w:val="00822361"/>
    <w:rsid w:val="00822D02"/>
    <w:rsid w:val="008236D1"/>
    <w:rsid w:val="00823E27"/>
    <w:rsid w:val="00824AFB"/>
    <w:rsid w:val="00825358"/>
    <w:rsid w:val="00827495"/>
    <w:rsid w:val="008278C3"/>
    <w:rsid w:val="00830C8C"/>
    <w:rsid w:val="0083320C"/>
    <w:rsid w:val="00833D84"/>
    <w:rsid w:val="00833E8B"/>
    <w:rsid w:val="00840136"/>
    <w:rsid w:val="008402B5"/>
    <w:rsid w:val="00840AFF"/>
    <w:rsid w:val="00843EA4"/>
    <w:rsid w:val="0085060C"/>
    <w:rsid w:val="0085105E"/>
    <w:rsid w:val="008524A0"/>
    <w:rsid w:val="00854526"/>
    <w:rsid w:val="00854620"/>
    <w:rsid w:val="00854EE9"/>
    <w:rsid w:val="00856C5D"/>
    <w:rsid w:val="00857355"/>
    <w:rsid w:val="008609EB"/>
    <w:rsid w:val="00861058"/>
    <w:rsid w:val="008623C1"/>
    <w:rsid w:val="00862FBA"/>
    <w:rsid w:val="00864928"/>
    <w:rsid w:val="00866C6F"/>
    <w:rsid w:val="00871C5D"/>
    <w:rsid w:val="008720F1"/>
    <w:rsid w:val="008773A0"/>
    <w:rsid w:val="00877B28"/>
    <w:rsid w:val="00881DFB"/>
    <w:rsid w:val="008822AF"/>
    <w:rsid w:val="00882B3D"/>
    <w:rsid w:val="008851AE"/>
    <w:rsid w:val="00885F7E"/>
    <w:rsid w:val="008879B4"/>
    <w:rsid w:val="00887F65"/>
    <w:rsid w:val="00890360"/>
    <w:rsid w:val="008905ED"/>
    <w:rsid w:val="00893A6B"/>
    <w:rsid w:val="008949A3"/>
    <w:rsid w:val="00894A36"/>
    <w:rsid w:val="00896FEB"/>
    <w:rsid w:val="00897541"/>
    <w:rsid w:val="00897DBD"/>
    <w:rsid w:val="008A08A0"/>
    <w:rsid w:val="008A1709"/>
    <w:rsid w:val="008A264F"/>
    <w:rsid w:val="008A28BA"/>
    <w:rsid w:val="008A2E4D"/>
    <w:rsid w:val="008A3201"/>
    <w:rsid w:val="008A3A8C"/>
    <w:rsid w:val="008A78DD"/>
    <w:rsid w:val="008A7C83"/>
    <w:rsid w:val="008B30B3"/>
    <w:rsid w:val="008B480F"/>
    <w:rsid w:val="008B511C"/>
    <w:rsid w:val="008B5AE4"/>
    <w:rsid w:val="008C06C8"/>
    <w:rsid w:val="008C202C"/>
    <w:rsid w:val="008C493A"/>
    <w:rsid w:val="008C5330"/>
    <w:rsid w:val="008C65A3"/>
    <w:rsid w:val="008D4FEC"/>
    <w:rsid w:val="008D6BBC"/>
    <w:rsid w:val="008E4941"/>
    <w:rsid w:val="008E6871"/>
    <w:rsid w:val="008E6FE8"/>
    <w:rsid w:val="008E7C1B"/>
    <w:rsid w:val="008F19B7"/>
    <w:rsid w:val="008F1FEE"/>
    <w:rsid w:val="008F2956"/>
    <w:rsid w:val="008F2CEB"/>
    <w:rsid w:val="008F74B8"/>
    <w:rsid w:val="008F7CA4"/>
    <w:rsid w:val="00900F09"/>
    <w:rsid w:val="0090312C"/>
    <w:rsid w:val="00904E18"/>
    <w:rsid w:val="00905413"/>
    <w:rsid w:val="00907A2F"/>
    <w:rsid w:val="00911835"/>
    <w:rsid w:val="009130FD"/>
    <w:rsid w:val="00913915"/>
    <w:rsid w:val="009172FB"/>
    <w:rsid w:val="0092470B"/>
    <w:rsid w:val="009258DE"/>
    <w:rsid w:val="00926F7C"/>
    <w:rsid w:val="00927120"/>
    <w:rsid w:val="00927CEC"/>
    <w:rsid w:val="009306B1"/>
    <w:rsid w:val="0093165E"/>
    <w:rsid w:val="009343C0"/>
    <w:rsid w:val="00935054"/>
    <w:rsid w:val="0094182C"/>
    <w:rsid w:val="009420D0"/>
    <w:rsid w:val="009453F0"/>
    <w:rsid w:val="009471FC"/>
    <w:rsid w:val="00947805"/>
    <w:rsid w:val="009501A9"/>
    <w:rsid w:val="00950A28"/>
    <w:rsid w:val="0095310D"/>
    <w:rsid w:val="00960ABE"/>
    <w:rsid w:val="0096222E"/>
    <w:rsid w:val="009624BB"/>
    <w:rsid w:val="00963D81"/>
    <w:rsid w:val="00966CB1"/>
    <w:rsid w:val="009707D5"/>
    <w:rsid w:val="00972DBB"/>
    <w:rsid w:val="00973614"/>
    <w:rsid w:val="00973C7D"/>
    <w:rsid w:val="00982814"/>
    <w:rsid w:val="00983C99"/>
    <w:rsid w:val="00984926"/>
    <w:rsid w:val="009869AD"/>
    <w:rsid w:val="009874E3"/>
    <w:rsid w:val="00987A6A"/>
    <w:rsid w:val="009921C0"/>
    <w:rsid w:val="00992974"/>
    <w:rsid w:val="00994600"/>
    <w:rsid w:val="00996F0B"/>
    <w:rsid w:val="009A0CC1"/>
    <w:rsid w:val="009A1A82"/>
    <w:rsid w:val="009A1FD2"/>
    <w:rsid w:val="009A2ADE"/>
    <w:rsid w:val="009A3152"/>
    <w:rsid w:val="009A37C3"/>
    <w:rsid w:val="009A6551"/>
    <w:rsid w:val="009B02EA"/>
    <w:rsid w:val="009B0CDD"/>
    <w:rsid w:val="009B2450"/>
    <w:rsid w:val="009B4041"/>
    <w:rsid w:val="009B4B60"/>
    <w:rsid w:val="009B5851"/>
    <w:rsid w:val="009B686A"/>
    <w:rsid w:val="009C03EC"/>
    <w:rsid w:val="009C0BCC"/>
    <w:rsid w:val="009C0C67"/>
    <w:rsid w:val="009C10A1"/>
    <w:rsid w:val="009C25B2"/>
    <w:rsid w:val="009C29DA"/>
    <w:rsid w:val="009D2E3A"/>
    <w:rsid w:val="009D49C9"/>
    <w:rsid w:val="009D6019"/>
    <w:rsid w:val="009D645E"/>
    <w:rsid w:val="009D78B5"/>
    <w:rsid w:val="009E312F"/>
    <w:rsid w:val="009E5ECF"/>
    <w:rsid w:val="009E6201"/>
    <w:rsid w:val="009F001D"/>
    <w:rsid w:val="009F19F6"/>
    <w:rsid w:val="009F1FE9"/>
    <w:rsid w:val="009F231C"/>
    <w:rsid w:val="009F307E"/>
    <w:rsid w:val="009F3649"/>
    <w:rsid w:val="009F37DA"/>
    <w:rsid w:val="009F5090"/>
    <w:rsid w:val="009F57D6"/>
    <w:rsid w:val="009F7548"/>
    <w:rsid w:val="009F7658"/>
    <w:rsid w:val="00A000E0"/>
    <w:rsid w:val="00A01947"/>
    <w:rsid w:val="00A05048"/>
    <w:rsid w:val="00A0774B"/>
    <w:rsid w:val="00A10890"/>
    <w:rsid w:val="00A10A76"/>
    <w:rsid w:val="00A1654F"/>
    <w:rsid w:val="00A206B1"/>
    <w:rsid w:val="00A24819"/>
    <w:rsid w:val="00A25848"/>
    <w:rsid w:val="00A271B0"/>
    <w:rsid w:val="00A31B4F"/>
    <w:rsid w:val="00A344A5"/>
    <w:rsid w:val="00A352D3"/>
    <w:rsid w:val="00A35890"/>
    <w:rsid w:val="00A36803"/>
    <w:rsid w:val="00A44059"/>
    <w:rsid w:val="00A45C74"/>
    <w:rsid w:val="00A52A00"/>
    <w:rsid w:val="00A5378B"/>
    <w:rsid w:val="00A53F42"/>
    <w:rsid w:val="00A55031"/>
    <w:rsid w:val="00A55C33"/>
    <w:rsid w:val="00A56689"/>
    <w:rsid w:val="00A62181"/>
    <w:rsid w:val="00A64D76"/>
    <w:rsid w:val="00A65C95"/>
    <w:rsid w:val="00A66D47"/>
    <w:rsid w:val="00A716C0"/>
    <w:rsid w:val="00A71C56"/>
    <w:rsid w:val="00A73061"/>
    <w:rsid w:val="00A75F30"/>
    <w:rsid w:val="00A76755"/>
    <w:rsid w:val="00A77C50"/>
    <w:rsid w:val="00A80F1C"/>
    <w:rsid w:val="00A81E9B"/>
    <w:rsid w:val="00A83EAE"/>
    <w:rsid w:val="00A863A8"/>
    <w:rsid w:val="00A86E35"/>
    <w:rsid w:val="00A87950"/>
    <w:rsid w:val="00A919B5"/>
    <w:rsid w:val="00A92321"/>
    <w:rsid w:val="00A93E79"/>
    <w:rsid w:val="00A9484D"/>
    <w:rsid w:val="00AA1798"/>
    <w:rsid w:val="00AA2329"/>
    <w:rsid w:val="00AA2AB7"/>
    <w:rsid w:val="00AA2BDB"/>
    <w:rsid w:val="00AA6D25"/>
    <w:rsid w:val="00AA6E46"/>
    <w:rsid w:val="00AB147C"/>
    <w:rsid w:val="00AB1947"/>
    <w:rsid w:val="00AB232F"/>
    <w:rsid w:val="00AB58A3"/>
    <w:rsid w:val="00AB5FC0"/>
    <w:rsid w:val="00AC00D6"/>
    <w:rsid w:val="00AC450B"/>
    <w:rsid w:val="00AC5500"/>
    <w:rsid w:val="00AC6EBA"/>
    <w:rsid w:val="00AC75D8"/>
    <w:rsid w:val="00AE2AF4"/>
    <w:rsid w:val="00AE30AE"/>
    <w:rsid w:val="00AE3BFB"/>
    <w:rsid w:val="00AE4BA4"/>
    <w:rsid w:val="00AE7349"/>
    <w:rsid w:val="00AF2778"/>
    <w:rsid w:val="00AF7E62"/>
    <w:rsid w:val="00B01BF6"/>
    <w:rsid w:val="00B02403"/>
    <w:rsid w:val="00B03243"/>
    <w:rsid w:val="00B06E63"/>
    <w:rsid w:val="00B070A6"/>
    <w:rsid w:val="00B123A5"/>
    <w:rsid w:val="00B12A7D"/>
    <w:rsid w:val="00B13351"/>
    <w:rsid w:val="00B20655"/>
    <w:rsid w:val="00B20DF1"/>
    <w:rsid w:val="00B2244D"/>
    <w:rsid w:val="00B23D44"/>
    <w:rsid w:val="00B24FA6"/>
    <w:rsid w:val="00B268A5"/>
    <w:rsid w:val="00B27EA6"/>
    <w:rsid w:val="00B303C8"/>
    <w:rsid w:val="00B3346D"/>
    <w:rsid w:val="00B348AE"/>
    <w:rsid w:val="00B354C3"/>
    <w:rsid w:val="00B37AA2"/>
    <w:rsid w:val="00B40FFB"/>
    <w:rsid w:val="00B41DF7"/>
    <w:rsid w:val="00B43C63"/>
    <w:rsid w:val="00B4551F"/>
    <w:rsid w:val="00B46D5F"/>
    <w:rsid w:val="00B47157"/>
    <w:rsid w:val="00B47308"/>
    <w:rsid w:val="00B5111C"/>
    <w:rsid w:val="00B52295"/>
    <w:rsid w:val="00B524EB"/>
    <w:rsid w:val="00B5782E"/>
    <w:rsid w:val="00B62AC9"/>
    <w:rsid w:val="00B639AF"/>
    <w:rsid w:val="00B63BF7"/>
    <w:rsid w:val="00B65DAE"/>
    <w:rsid w:val="00B66504"/>
    <w:rsid w:val="00B674C8"/>
    <w:rsid w:val="00B7226B"/>
    <w:rsid w:val="00B816E1"/>
    <w:rsid w:val="00B81F6D"/>
    <w:rsid w:val="00B82E38"/>
    <w:rsid w:val="00B830CC"/>
    <w:rsid w:val="00B83C17"/>
    <w:rsid w:val="00B842F5"/>
    <w:rsid w:val="00B84B3C"/>
    <w:rsid w:val="00B85267"/>
    <w:rsid w:val="00B900CE"/>
    <w:rsid w:val="00B92411"/>
    <w:rsid w:val="00B924BB"/>
    <w:rsid w:val="00B93562"/>
    <w:rsid w:val="00B93C2C"/>
    <w:rsid w:val="00B93DAE"/>
    <w:rsid w:val="00B95BF1"/>
    <w:rsid w:val="00B95E59"/>
    <w:rsid w:val="00B95FEB"/>
    <w:rsid w:val="00B97972"/>
    <w:rsid w:val="00BA130C"/>
    <w:rsid w:val="00BA2499"/>
    <w:rsid w:val="00BA2F67"/>
    <w:rsid w:val="00BA464F"/>
    <w:rsid w:val="00BA4876"/>
    <w:rsid w:val="00BA79D8"/>
    <w:rsid w:val="00BA7E89"/>
    <w:rsid w:val="00BB4033"/>
    <w:rsid w:val="00BB5C53"/>
    <w:rsid w:val="00BC4D2F"/>
    <w:rsid w:val="00BC6E93"/>
    <w:rsid w:val="00BC7865"/>
    <w:rsid w:val="00BC78AE"/>
    <w:rsid w:val="00BD19C2"/>
    <w:rsid w:val="00BD459D"/>
    <w:rsid w:val="00BD5A54"/>
    <w:rsid w:val="00BD6E75"/>
    <w:rsid w:val="00BD79FC"/>
    <w:rsid w:val="00BE0BBE"/>
    <w:rsid w:val="00BE3E9F"/>
    <w:rsid w:val="00BE49AB"/>
    <w:rsid w:val="00BE631F"/>
    <w:rsid w:val="00BE73B2"/>
    <w:rsid w:val="00BF223C"/>
    <w:rsid w:val="00BF3199"/>
    <w:rsid w:val="00BF424D"/>
    <w:rsid w:val="00BF6789"/>
    <w:rsid w:val="00C005CA"/>
    <w:rsid w:val="00C016A7"/>
    <w:rsid w:val="00C027FB"/>
    <w:rsid w:val="00C029F8"/>
    <w:rsid w:val="00C03890"/>
    <w:rsid w:val="00C0394B"/>
    <w:rsid w:val="00C0591E"/>
    <w:rsid w:val="00C05D16"/>
    <w:rsid w:val="00C071ED"/>
    <w:rsid w:val="00C100DB"/>
    <w:rsid w:val="00C10E2C"/>
    <w:rsid w:val="00C11F78"/>
    <w:rsid w:val="00C12B9B"/>
    <w:rsid w:val="00C16860"/>
    <w:rsid w:val="00C17C98"/>
    <w:rsid w:val="00C17D58"/>
    <w:rsid w:val="00C2051B"/>
    <w:rsid w:val="00C20B9C"/>
    <w:rsid w:val="00C20C13"/>
    <w:rsid w:val="00C21D63"/>
    <w:rsid w:val="00C32F15"/>
    <w:rsid w:val="00C365A5"/>
    <w:rsid w:val="00C3681F"/>
    <w:rsid w:val="00C4390C"/>
    <w:rsid w:val="00C43BFD"/>
    <w:rsid w:val="00C4545A"/>
    <w:rsid w:val="00C50DCB"/>
    <w:rsid w:val="00C5220B"/>
    <w:rsid w:val="00C5456A"/>
    <w:rsid w:val="00C607E4"/>
    <w:rsid w:val="00C636BC"/>
    <w:rsid w:val="00C64E3E"/>
    <w:rsid w:val="00C664A2"/>
    <w:rsid w:val="00C667DA"/>
    <w:rsid w:val="00C669D7"/>
    <w:rsid w:val="00C6719C"/>
    <w:rsid w:val="00C7299C"/>
    <w:rsid w:val="00C72BD7"/>
    <w:rsid w:val="00C73241"/>
    <w:rsid w:val="00C73D0E"/>
    <w:rsid w:val="00C75B34"/>
    <w:rsid w:val="00C76586"/>
    <w:rsid w:val="00C813D1"/>
    <w:rsid w:val="00C81C6A"/>
    <w:rsid w:val="00C83786"/>
    <w:rsid w:val="00C84229"/>
    <w:rsid w:val="00C84D12"/>
    <w:rsid w:val="00C85A65"/>
    <w:rsid w:val="00C918A4"/>
    <w:rsid w:val="00C92BDF"/>
    <w:rsid w:val="00C93E27"/>
    <w:rsid w:val="00C95AB0"/>
    <w:rsid w:val="00C95F91"/>
    <w:rsid w:val="00CA138F"/>
    <w:rsid w:val="00CA1AE0"/>
    <w:rsid w:val="00CA301D"/>
    <w:rsid w:val="00CA34B9"/>
    <w:rsid w:val="00CB29CE"/>
    <w:rsid w:val="00CB2A1D"/>
    <w:rsid w:val="00CB39D8"/>
    <w:rsid w:val="00CB3A2C"/>
    <w:rsid w:val="00CB48E4"/>
    <w:rsid w:val="00CB5B78"/>
    <w:rsid w:val="00CB60CD"/>
    <w:rsid w:val="00CB71E7"/>
    <w:rsid w:val="00CB7273"/>
    <w:rsid w:val="00CC5279"/>
    <w:rsid w:val="00CD09E6"/>
    <w:rsid w:val="00CD14D7"/>
    <w:rsid w:val="00CD2054"/>
    <w:rsid w:val="00CD2CDC"/>
    <w:rsid w:val="00CD446C"/>
    <w:rsid w:val="00CD65C9"/>
    <w:rsid w:val="00CE1B4C"/>
    <w:rsid w:val="00CE3E89"/>
    <w:rsid w:val="00CE41D8"/>
    <w:rsid w:val="00CE58B7"/>
    <w:rsid w:val="00CE5F56"/>
    <w:rsid w:val="00CE6595"/>
    <w:rsid w:val="00CE6B99"/>
    <w:rsid w:val="00CE788B"/>
    <w:rsid w:val="00CF00A7"/>
    <w:rsid w:val="00CF1F25"/>
    <w:rsid w:val="00CF220D"/>
    <w:rsid w:val="00CF2E4C"/>
    <w:rsid w:val="00CF32AC"/>
    <w:rsid w:val="00D00F60"/>
    <w:rsid w:val="00D0189E"/>
    <w:rsid w:val="00D034DF"/>
    <w:rsid w:val="00D034F1"/>
    <w:rsid w:val="00D05BDC"/>
    <w:rsid w:val="00D11CD7"/>
    <w:rsid w:val="00D11DA9"/>
    <w:rsid w:val="00D12893"/>
    <w:rsid w:val="00D12E55"/>
    <w:rsid w:val="00D15A00"/>
    <w:rsid w:val="00D207EF"/>
    <w:rsid w:val="00D20ACE"/>
    <w:rsid w:val="00D20DD3"/>
    <w:rsid w:val="00D21927"/>
    <w:rsid w:val="00D21A85"/>
    <w:rsid w:val="00D24814"/>
    <w:rsid w:val="00D249E4"/>
    <w:rsid w:val="00D24ACB"/>
    <w:rsid w:val="00D25CBB"/>
    <w:rsid w:val="00D25D33"/>
    <w:rsid w:val="00D264AC"/>
    <w:rsid w:val="00D268C7"/>
    <w:rsid w:val="00D314BC"/>
    <w:rsid w:val="00D328C8"/>
    <w:rsid w:val="00D40633"/>
    <w:rsid w:val="00D40CF0"/>
    <w:rsid w:val="00D42FDA"/>
    <w:rsid w:val="00D437B9"/>
    <w:rsid w:val="00D453F7"/>
    <w:rsid w:val="00D4740D"/>
    <w:rsid w:val="00D505B8"/>
    <w:rsid w:val="00D50C7A"/>
    <w:rsid w:val="00D53ED9"/>
    <w:rsid w:val="00D54109"/>
    <w:rsid w:val="00D626B1"/>
    <w:rsid w:val="00D631DE"/>
    <w:rsid w:val="00D6560A"/>
    <w:rsid w:val="00D668E6"/>
    <w:rsid w:val="00D81B5F"/>
    <w:rsid w:val="00D81F40"/>
    <w:rsid w:val="00D81F69"/>
    <w:rsid w:val="00D820B4"/>
    <w:rsid w:val="00D83370"/>
    <w:rsid w:val="00D84C0B"/>
    <w:rsid w:val="00D84DD6"/>
    <w:rsid w:val="00D851BD"/>
    <w:rsid w:val="00D857E0"/>
    <w:rsid w:val="00D919F6"/>
    <w:rsid w:val="00D92F01"/>
    <w:rsid w:val="00D94195"/>
    <w:rsid w:val="00D946B1"/>
    <w:rsid w:val="00DA05D1"/>
    <w:rsid w:val="00DA2D58"/>
    <w:rsid w:val="00DA3C86"/>
    <w:rsid w:val="00DB033F"/>
    <w:rsid w:val="00DB04F5"/>
    <w:rsid w:val="00DB1F89"/>
    <w:rsid w:val="00DB25A3"/>
    <w:rsid w:val="00DC00AA"/>
    <w:rsid w:val="00DC5101"/>
    <w:rsid w:val="00DC55B0"/>
    <w:rsid w:val="00DC7EE7"/>
    <w:rsid w:val="00DD0F72"/>
    <w:rsid w:val="00DD112C"/>
    <w:rsid w:val="00DD19C1"/>
    <w:rsid w:val="00DD573D"/>
    <w:rsid w:val="00DE005C"/>
    <w:rsid w:val="00DE0078"/>
    <w:rsid w:val="00DE0D4B"/>
    <w:rsid w:val="00DE256B"/>
    <w:rsid w:val="00DE3717"/>
    <w:rsid w:val="00DE5D91"/>
    <w:rsid w:val="00DE7FD9"/>
    <w:rsid w:val="00DF1243"/>
    <w:rsid w:val="00DF14E6"/>
    <w:rsid w:val="00DF24AD"/>
    <w:rsid w:val="00DF4C2D"/>
    <w:rsid w:val="00DF5466"/>
    <w:rsid w:val="00DF5ACA"/>
    <w:rsid w:val="00DF6BFE"/>
    <w:rsid w:val="00E0044B"/>
    <w:rsid w:val="00E00D07"/>
    <w:rsid w:val="00E0135A"/>
    <w:rsid w:val="00E01468"/>
    <w:rsid w:val="00E028A6"/>
    <w:rsid w:val="00E02FA3"/>
    <w:rsid w:val="00E04B23"/>
    <w:rsid w:val="00E05FD9"/>
    <w:rsid w:val="00E1132A"/>
    <w:rsid w:val="00E11A81"/>
    <w:rsid w:val="00E12161"/>
    <w:rsid w:val="00E169D3"/>
    <w:rsid w:val="00E17E76"/>
    <w:rsid w:val="00E219F4"/>
    <w:rsid w:val="00E22B80"/>
    <w:rsid w:val="00E2434C"/>
    <w:rsid w:val="00E24ED2"/>
    <w:rsid w:val="00E2518F"/>
    <w:rsid w:val="00E302D5"/>
    <w:rsid w:val="00E34AEF"/>
    <w:rsid w:val="00E40914"/>
    <w:rsid w:val="00E41714"/>
    <w:rsid w:val="00E45E96"/>
    <w:rsid w:val="00E45F84"/>
    <w:rsid w:val="00E47508"/>
    <w:rsid w:val="00E47EE7"/>
    <w:rsid w:val="00E529FB"/>
    <w:rsid w:val="00E52E63"/>
    <w:rsid w:val="00E55D1E"/>
    <w:rsid w:val="00E61620"/>
    <w:rsid w:val="00E61BFB"/>
    <w:rsid w:val="00E63A82"/>
    <w:rsid w:val="00E72BFC"/>
    <w:rsid w:val="00E75B66"/>
    <w:rsid w:val="00E80318"/>
    <w:rsid w:val="00E83033"/>
    <w:rsid w:val="00E8395A"/>
    <w:rsid w:val="00E840C9"/>
    <w:rsid w:val="00E84337"/>
    <w:rsid w:val="00E85F37"/>
    <w:rsid w:val="00E8713D"/>
    <w:rsid w:val="00E87499"/>
    <w:rsid w:val="00E90C6F"/>
    <w:rsid w:val="00E92CD6"/>
    <w:rsid w:val="00E94773"/>
    <w:rsid w:val="00E94A1C"/>
    <w:rsid w:val="00E96D83"/>
    <w:rsid w:val="00EA2EF8"/>
    <w:rsid w:val="00EA3B07"/>
    <w:rsid w:val="00EA69A4"/>
    <w:rsid w:val="00EA77FD"/>
    <w:rsid w:val="00EB0112"/>
    <w:rsid w:val="00EB0F45"/>
    <w:rsid w:val="00EB4EDA"/>
    <w:rsid w:val="00EB508B"/>
    <w:rsid w:val="00EB60C1"/>
    <w:rsid w:val="00EB6DD6"/>
    <w:rsid w:val="00EB76C0"/>
    <w:rsid w:val="00EC0F89"/>
    <w:rsid w:val="00EC663A"/>
    <w:rsid w:val="00ED0A97"/>
    <w:rsid w:val="00ED298E"/>
    <w:rsid w:val="00ED4B38"/>
    <w:rsid w:val="00ED7B50"/>
    <w:rsid w:val="00EE000C"/>
    <w:rsid w:val="00EE04C7"/>
    <w:rsid w:val="00EE1067"/>
    <w:rsid w:val="00EE1BED"/>
    <w:rsid w:val="00EE37AA"/>
    <w:rsid w:val="00EE75A2"/>
    <w:rsid w:val="00EF02B9"/>
    <w:rsid w:val="00EF04DE"/>
    <w:rsid w:val="00EF1993"/>
    <w:rsid w:val="00EF2C96"/>
    <w:rsid w:val="00EF38B1"/>
    <w:rsid w:val="00EF3FBE"/>
    <w:rsid w:val="00F013DB"/>
    <w:rsid w:val="00F07A99"/>
    <w:rsid w:val="00F1252E"/>
    <w:rsid w:val="00F13B29"/>
    <w:rsid w:val="00F14DB6"/>
    <w:rsid w:val="00F16F4C"/>
    <w:rsid w:val="00F17462"/>
    <w:rsid w:val="00F174F8"/>
    <w:rsid w:val="00F20A03"/>
    <w:rsid w:val="00F216F1"/>
    <w:rsid w:val="00F22179"/>
    <w:rsid w:val="00F221F6"/>
    <w:rsid w:val="00F23037"/>
    <w:rsid w:val="00F23774"/>
    <w:rsid w:val="00F23DD0"/>
    <w:rsid w:val="00F247AF"/>
    <w:rsid w:val="00F26300"/>
    <w:rsid w:val="00F26882"/>
    <w:rsid w:val="00F2714B"/>
    <w:rsid w:val="00F27375"/>
    <w:rsid w:val="00F304AC"/>
    <w:rsid w:val="00F3075C"/>
    <w:rsid w:val="00F31F3E"/>
    <w:rsid w:val="00F34EA5"/>
    <w:rsid w:val="00F407D6"/>
    <w:rsid w:val="00F42030"/>
    <w:rsid w:val="00F43F1F"/>
    <w:rsid w:val="00F45D66"/>
    <w:rsid w:val="00F50F63"/>
    <w:rsid w:val="00F52E34"/>
    <w:rsid w:val="00F52F9D"/>
    <w:rsid w:val="00F532AF"/>
    <w:rsid w:val="00F5506C"/>
    <w:rsid w:val="00F5590B"/>
    <w:rsid w:val="00F563AA"/>
    <w:rsid w:val="00F602DA"/>
    <w:rsid w:val="00F6158C"/>
    <w:rsid w:val="00F63D72"/>
    <w:rsid w:val="00F64D91"/>
    <w:rsid w:val="00F706B3"/>
    <w:rsid w:val="00F70716"/>
    <w:rsid w:val="00F80EBC"/>
    <w:rsid w:val="00F83718"/>
    <w:rsid w:val="00F85282"/>
    <w:rsid w:val="00F85C5C"/>
    <w:rsid w:val="00F91E88"/>
    <w:rsid w:val="00F92384"/>
    <w:rsid w:val="00F932C1"/>
    <w:rsid w:val="00F944AA"/>
    <w:rsid w:val="00F94BAD"/>
    <w:rsid w:val="00F94CD7"/>
    <w:rsid w:val="00F95859"/>
    <w:rsid w:val="00F96C90"/>
    <w:rsid w:val="00FA04C2"/>
    <w:rsid w:val="00FA085F"/>
    <w:rsid w:val="00FA44DB"/>
    <w:rsid w:val="00FA5C2A"/>
    <w:rsid w:val="00FA5EE8"/>
    <w:rsid w:val="00FB00FD"/>
    <w:rsid w:val="00FB3850"/>
    <w:rsid w:val="00FB42D4"/>
    <w:rsid w:val="00FB6672"/>
    <w:rsid w:val="00FB798B"/>
    <w:rsid w:val="00FC12CB"/>
    <w:rsid w:val="00FC3BDA"/>
    <w:rsid w:val="00FC4521"/>
    <w:rsid w:val="00FD12AE"/>
    <w:rsid w:val="00FD1710"/>
    <w:rsid w:val="00FD253E"/>
    <w:rsid w:val="00FD4116"/>
    <w:rsid w:val="00FD4CBF"/>
    <w:rsid w:val="00FD5BAB"/>
    <w:rsid w:val="00FD5D9B"/>
    <w:rsid w:val="00FE015D"/>
    <w:rsid w:val="00FE05F4"/>
    <w:rsid w:val="00FE06AF"/>
    <w:rsid w:val="00FE0A86"/>
    <w:rsid w:val="00FE15E4"/>
    <w:rsid w:val="00FE5285"/>
    <w:rsid w:val="00FE55EE"/>
    <w:rsid w:val="00FF098E"/>
    <w:rsid w:val="00FF144D"/>
    <w:rsid w:val="00FF27E4"/>
    <w:rsid w:val="00FF2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AEE77"/>
  <w14:defaultImageDpi w14:val="0"/>
  <w15:docId w15:val="{789E9F27-3EB5-470F-8743-8E202CD4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B60CD"/>
    <w:pPr>
      <w:keepNext/>
      <w:autoSpaceDE w:val="0"/>
      <w:autoSpaceDN w:val="0"/>
      <w:outlineLvl w:val="0"/>
    </w:pPr>
    <w:rPr>
      <w:rFonts w:ascii="Arial" w:hAnsi="Arial" w:cs="Arial"/>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alloonText">
    <w:name w:val="Balloon Text"/>
    <w:basedOn w:val="Normal"/>
    <w:link w:val="BalloonTextChar"/>
    <w:uiPriority w:val="99"/>
    <w:semiHidden/>
    <w:rsid w:val="003B6B9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59"/>
    <w:rsid w:val="00CB60C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5105E"/>
    <w:rPr>
      <w:rFonts w:cs="Times New Roman"/>
      <w:sz w:val="16"/>
    </w:rPr>
  </w:style>
  <w:style w:type="paragraph" w:styleId="CommentText">
    <w:name w:val="annotation text"/>
    <w:basedOn w:val="Normal"/>
    <w:link w:val="CommentTextChar"/>
    <w:uiPriority w:val="99"/>
    <w:semiHidden/>
    <w:rsid w:val="0085105E"/>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85105E"/>
    <w:rPr>
      <w:b/>
      <w:bCs/>
    </w:rPr>
  </w:style>
  <w:style w:type="character" w:customStyle="1" w:styleId="CommentSubjectChar">
    <w:name w:val="Comment Subject Char"/>
    <w:basedOn w:val="CommentTextChar"/>
    <w:link w:val="CommentSubject"/>
    <w:uiPriority w:val="99"/>
    <w:semiHidden/>
    <w:locked/>
    <w:rPr>
      <w:rFonts w:cs="Times New Roman"/>
      <w:b/>
      <w:bCs/>
    </w:rPr>
  </w:style>
  <w:style w:type="character" w:styleId="Hyperlink">
    <w:name w:val="Hyperlink"/>
    <w:basedOn w:val="DefaultParagraphFont"/>
    <w:uiPriority w:val="99"/>
    <w:rsid w:val="00F16F4C"/>
    <w:rPr>
      <w:rFonts w:cs="Times New Roman"/>
      <w:color w:val="0000FF"/>
      <w:u w:val="single"/>
    </w:rPr>
  </w:style>
  <w:style w:type="paragraph" w:styleId="Header">
    <w:name w:val="header"/>
    <w:basedOn w:val="Normal"/>
    <w:link w:val="HeaderChar"/>
    <w:uiPriority w:val="99"/>
    <w:rsid w:val="00EB60C1"/>
    <w:pPr>
      <w:tabs>
        <w:tab w:val="center" w:pos="4153"/>
        <w:tab w:val="right" w:pos="8306"/>
      </w:tabs>
    </w:pPr>
    <w:rPr>
      <w:rFonts w:ascii="TradeGothic" w:hAnsi="TradeGothic"/>
      <w:sz w:val="22"/>
      <w:szCs w:val="20"/>
      <w:lang w:eastAsia="en-US"/>
    </w:rPr>
  </w:style>
  <w:style w:type="character" w:customStyle="1" w:styleId="HeaderChar">
    <w:name w:val="Header Char"/>
    <w:basedOn w:val="DefaultParagraphFont"/>
    <w:link w:val="Header"/>
    <w:uiPriority w:val="99"/>
    <w:locked/>
    <w:rsid w:val="00EB60C1"/>
    <w:rPr>
      <w:rFonts w:ascii="TradeGothic" w:hAnsi="TradeGothic" w:cs="Times New Roman"/>
      <w:sz w:val="22"/>
      <w:lang w:val="x-none" w:eastAsia="en-US"/>
    </w:rPr>
  </w:style>
  <w:style w:type="paragraph" w:styleId="Footer">
    <w:name w:val="footer"/>
    <w:basedOn w:val="Normal"/>
    <w:link w:val="FooterChar"/>
    <w:uiPriority w:val="99"/>
    <w:rsid w:val="00440476"/>
    <w:pPr>
      <w:tabs>
        <w:tab w:val="center" w:pos="4513"/>
        <w:tab w:val="right" w:pos="9026"/>
      </w:tabs>
    </w:pPr>
  </w:style>
  <w:style w:type="character" w:customStyle="1" w:styleId="FooterChar">
    <w:name w:val="Footer Char"/>
    <w:basedOn w:val="DefaultParagraphFont"/>
    <w:link w:val="Footer"/>
    <w:uiPriority w:val="99"/>
    <w:locked/>
    <w:rsid w:val="00440476"/>
    <w:rPr>
      <w:rFonts w:cs="Times New Roman"/>
      <w:sz w:val="24"/>
    </w:rPr>
  </w:style>
  <w:style w:type="paragraph" w:styleId="FootnoteText">
    <w:name w:val="footnote text"/>
    <w:basedOn w:val="Normal"/>
    <w:link w:val="FootnoteTextChar"/>
    <w:uiPriority w:val="99"/>
    <w:rsid w:val="00D81F40"/>
    <w:rPr>
      <w:sz w:val="20"/>
      <w:szCs w:val="20"/>
    </w:rPr>
  </w:style>
  <w:style w:type="character" w:customStyle="1" w:styleId="FootnoteTextChar">
    <w:name w:val="Footnote Text Char"/>
    <w:basedOn w:val="DefaultParagraphFont"/>
    <w:link w:val="FootnoteText"/>
    <w:uiPriority w:val="99"/>
    <w:locked/>
    <w:rsid w:val="00D81F40"/>
    <w:rPr>
      <w:rFonts w:cs="Times New Roman"/>
    </w:rPr>
  </w:style>
  <w:style w:type="character" w:styleId="FootnoteReference">
    <w:name w:val="footnote reference"/>
    <w:basedOn w:val="DefaultParagraphFont"/>
    <w:uiPriority w:val="99"/>
    <w:rsid w:val="00D81F40"/>
    <w:rPr>
      <w:rFonts w:cs="Times New Roman"/>
      <w:vertAlign w:val="superscript"/>
    </w:rPr>
  </w:style>
  <w:style w:type="paragraph" w:styleId="ListParagraph">
    <w:name w:val="List Paragraph"/>
    <w:basedOn w:val="Normal"/>
    <w:uiPriority w:val="34"/>
    <w:qFormat/>
    <w:rsid w:val="00B02403"/>
    <w:pPr>
      <w:spacing w:after="200" w:line="276" w:lineRule="auto"/>
      <w:ind w:left="720"/>
      <w:contextualSpacing/>
    </w:pPr>
    <w:rPr>
      <w:rFonts w:ascii="Calibri" w:hAnsi="Calibri"/>
      <w:sz w:val="22"/>
      <w:szCs w:val="22"/>
      <w:lang w:eastAsia="en-US"/>
    </w:rPr>
  </w:style>
  <w:style w:type="paragraph" w:styleId="PlainText">
    <w:name w:val="Plain Text"/>
    <w:basedOn w:val="Normal"/>
    <w:link w:val="PlainTextChar"/>
    <w:uiPriority w:val="99"/>
    <w:unhideWhenUsed/>
    <w:rsid w:val="00F2714B"/>
    <w:rPr>
      <w:rFonts w:ascii="Calibri" w:hAnsi="Calibri" w:cs="Consolas"/>
      <w:sz w:val="22"/>
      <w:szCs w:val="21"/>
      <w:lang w:eastAsia="en-US"/>
    </w:rPr>
  </w:style>
  <w:style w:type="character" w:customStyle="1" w:styleId="PlainTextChar">
    <w:name w:val="Plain Text Char"/>
    <w:basedOn w:val="DefaultParagraphFont"/>
    <w:link w:val="PlainText"/>
    <w:uiPriority w:val="99"/>
    <w:locked/>
    <w:rsid w:val="00F2714B"/>
    <w:rPr>
      <w:rFonts w:ascii="Calibri" w:hAnsi="Calibri" w:cs="Times New Roman"/>
      <w:sz w:val="21"/>
      <w:lang w:val="x-none" w:eastAsia="en-US"/>
    </w:rPr>
  </w:style>
  <w:style w:type="paragraph" w:styleId="Revision">
    <w:name w:val="Revision"/>
    <w:hidden/>
    <w:uiPriority w:val="99"/>
    <w:semiHidden/>
    <w:rsid w:val="00391B93"/>
    <w:rPr>
      <w:sz w:val="24"/>
      <w:szCs w:val="24"/>
    </w:rPr>
  </w:style>
  <w:style w:type="paragraph" w:customStyle="1" w:styleId="Default">
    <w:name w:val="Default"/>
    <w:rsid w:val="00A53F4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82121">
      <w:marLeft w:val="0"/>
      <w:marRight w:val="0"/>
      <w:marTop w:val="0"/>
      <w:marBottom w:val="0"/>
      <w:divBdr>
        <w:top w:val="none" w:sz="0" w:space="0" w:color="auto"/>
        <w:left w:val="none" w:sz="0" w:space="0" w:color="auto"/>
        <w:bottom w:val="none" w:sz="0" w:space="0" w:color="auto"/>
        <w:right w:val="none" w:sz="0" w:space="0" w:color="auto"/>
      </w:divBdr>
    </w:div>
    <w:div w:id="1029182122">
      <w:marLeft w:val="0"/>
      <w:marRight w:val="0"/>
      <w:marTop w:val="0"/>
      <w:marBottom w:val="0"/>
      <w:divBdr>
        <w:top w:val="none" w:sz="0" w:space="0" w:color="auto"/>
        <w:left w:val="none" w:sz="0" w:space="0" w:color="auto"/>
        <w:bottom w:val="none" w:sz="0" w:space="0" w:color="auto"/>
        <w:right w:val="none" w:sz="0" w:space="0" w:color="auto"/>
      </w:divBdr>
    </w:div>
    <w:div w:id="1029182123">
      <w:marLeft w:val="0"/>
      <w:marRight w:val="0"/>
      <w:marTop w:val="0"/>
      <w:marBottom w:val="0"/>
      <w:divBdr>
        <w:top w:val="none" w:sz="0" w:space="0" w:color="auto"/>
        <w:left w:val="none" w:sz="0" w:space="0" w:color="auto"/>
        <w:bottom w:val="none" w:sz="0" w:space="0" w:color="auto"/>
        <w:right w:val="none" w:sz="0" w:space="0" w:color="auto"/>
      </w:divBdr>
    </w:div>
    <w:div w:id="1029182124">
      <w:marLeft w:val="0"/>
      <w:marRight w:val="0"/>
      <w:marTop w:val="0"/>
      <w:marBottom w:val="0"/>
      <w:divBdr>
        <w:top w:val="none" w:sz="0" w:space="0" w:color="auto"/>
        <w:left w:val="none" w:sz="0" w:space="0" w:color="auto"/>
        <w:bottom w:val="none" w:sz="0" w:space="0" w:color="auto"/>
        <w:right w:val="none" w:sz="0" w:space="0" w:color="auto"/>
      </w:divBdr>
    </w:div>
    <w:div w:id="1029182125">
      <w:marLeft w:val="0"/>
      <w:marRight w:val="0"/>
      <w:marTop w:val="0"/>
      <w:marBottom w:val="0"/>
      <w:divBdr>
        <w:top w:val="none" w:sz="0" w:space="0" w:color="auto"/>
        <w:left w:val="none" w:sz="0" w:space="0" w:color="auto"/>
        <w:bottom w:val="none" w:sz="0" w:space="0" w:color="auto"/>
        <w:right w:val="none" w:sz="0" w:space="0" w:color="auto"/>
      </w:divBdr>
    </w:div>
    <w:div w:id="1029182126">
      <w:marLeft w:val="0"/>
      <w:marRight w:val="0"/>
      <w:marTop w:val="0"/>
      <w:marBottom w:val="0"/>
      <w:divBdr>
        <w:top w:val="none" w:sz="0" w:space="0" w:color="auto"/>
        <w:left w:val="none" w:sz="0" w:space="0" w:color="auto"/>
        <w:bottom w:val="none" w:sz="0" w:space="0" w:color="auto"/>
        <w:right w:val="none" w:sz="0" w:space="0" w:color="auto"/>
      </w:divBdr>
    </w:div>
    <w:div w:id="1029182127">
      <w:marLeft w:val="0"/>
      <w:marRight w:val="0"/>
      <w:marTop w:val="0"/>
      <w:marBottom w:val="0"/>
      <w:divBdr>
        <w:top w:val="none" w:sz="0" w:space="0" w:color="auto"/>
        <w:left w:val="none" w:sz="0" w:space="0" w:color="auto"/>
        <w:bottom w:val="none" w:sz="0" w:space="0" w:color="auto"/>
        <w:right w:val="none" w:sz="0" w:space="0" w:color="auto"/>
      </w:divBdr>
    </w:div>
    <w:div w:id="1029182128">
      <w:marLeft w:val="0"/>
      <w:marRight w:val="0"/>
      <w:marTop w:val="0"/>
      <w:marBottom w:val="0"/>
      <w:divBdr>
        <w:top w:val="none" w:sz="0" w:space="0" w:color="auto"/>
        <w:left w:val="none" w:sz="0" w:space="0" w:color="auto"/>
        <w:bottom w:val="none" w:sz="0" w:space="0" w:color="auto"/>
        <w:right w:val="none" w:sz="0" w:space="0" w:color="auto"/>
      </w:divBdr>
    </w:div>
    <w:div w:id="1029182129">
      <w:marLeft w:val="0"/>
      <w:marRight w:val="0"/>
      <w:marTop w:val="0"/>
      <w:marBottom w:val="0"/>
      <w:divBdr>
        <w:top w:val="none" w:sz="0" w:space="0" w:color="auto"/>
        <w:left w:val="none" w:sz="0" w:space="0" w:color="auto"/>
        <w:bottom w:val="none" w:sz="0" w:space="0" w:color="auto"/>
        <w:right w:val="none" w:sz="0" w:space="0" w:color="auto"/>
      </w:divBdr>
    </w:div>
    <w:div w:id="1029182130">
      <w:marLeft w:val="0"/>
      <w:marRight w:val="0"/>
      <w:marTop w:val="0"/>
      <w:marBottom w:val="0"/>
      <w:divBdr>
        <w:top w:val="none" w:sz="0" w:space="0" w:color="auto"/>
        <w:left w:val="none" w:sz="0" w:space="0" w:color="auto"/>
        <w:bottom w:val="none" w:sz="0" w:space="0" w:color="auto"/>
        <w:right w:val="none" w:sz="0" w:space="0" w:color="auto"/>
      </w:divBdr>
    </w:div>
    <w:div w:id="1029182131">
      <w:marLeft w:val="0"/>
      <w:marRight w:val="0"/>
      <w:marTop w:val="0"/>
      <w:marBottom w:val="0"/>
      <w:divBdr>
        <w:top w:val="none" w:sz="0" w:space="0" w:color="auto"/>
        <w:left w:val="none" w:sz="0" w:space="0" w:color="auto"/>
        <w:bottom w:val="none" w:sz="0" w:space="0" w:color="auto"/>
        <w:right w:val="none" w:sz="0" w:space="0" w:color="auto"/>
      </w:divBdr>
    </w:div>
    <w:div w:id="1029182132">
      <w:marLeft w:val="0"/>
      <w:marRight w:val="0"/>
      <w:marTop w:val="0"/>
      <w:marBottom w:val="0"/>
      <w:divBdr>
        <w:top w:val="none" w:sz="0" w:space="0" w:color="auto"/>
        <w:left w:val="none" w:sz="0" w:space="0" w:color="auto"/>
        <w:bottom w:val="none" w:sz="0" w:space="0" w:color="auto"/>
        <w:right w:val="none" w:sz="0" w:space="0" w:color="auto"/>
      </w:divBdr>
    </w:div>
    <w:div w:id="1029182133">
      <w:marLeft w:val="0"/>
      <w:marRight w:val="0"/>
      <w:marTop w:val="0"/>
      <w:marBottom w:val="0"/>
      <w:divBdr>
        <w:top w:val="none" w:sz="0" w:space="0" w:color="auto"/>
        <w:left w:val="none" w:sz="0" w:space="0" w:color="auto"/>
        <w:bottom w:val="none" w:sz="0" w:space="0" w:color="auto"/>
        <w:right w:val="none" w:sz="0" w:space="0" w:color="auto"/>
      </w:divBdr>
    </w:div>
    <w:div w:id="1029182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v.wales/topics/localgovernment/finandfunding/settlement/lg-settlement-2019-20/?lang=en" TargetMode="External"/><Relationship Id="rId14" Type="http://schemas.openxmlformats.org/officeDocument/2006/relationships/customXml" Target="../customXml/item3.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2018-10-08T23:00:00+00:00</Meeting_x0020_Date>
    <Assembly xmlns="a4e7e3ba-90a1-4b0a-844f-73b076486bd6">5</Assembly>
  </documentManagement>
</p:properties>
</file>

<file path=customXml/itemProps1.xml><?xml version="1.0" encoding="utf-8"?>
<ds:datastoreItem xmlns:ds="http://schemas.openxmlformats.org/officeDocument/2006/customXml" ds:itemID="{23B3FA6D-B8DC-4D4B-BC01-744186F18BB9}">
  <ds:schemaRefs>
    <ds:schemaRef ds:uri="http://schemas.openxmlformats.org/officeDocument/2006/bibliography"/>
  </ds:schemaRefs>
</ds:datastoreItem>
</file>

<file path=customXml/itemProps2.xml><?xml version="1.0" encoding="utf-8"?>
<ds:datastoreItem xmlns:ds="http://schemas.openxmlformats.org/officeDocument/2006/customXml" ds:itemID="{491F3195-0A01-456C-9E85-BAFE0E402002}"/>
</file>

<file path=customXml/itemProps3.xml><?xml version="1.0" encoding="utf-8"?>
<ds:datastoreItem xmlns:ds="http://schemas.openxmlformats.org/officeDocument/2006/customXml" ds:itemID="{532E16DE-084D-48FD-8C25-5CBCCEBA4C9D}"/>
</file>

<file path=customXml/itemProps4.xml><?xml version="1.0" encoding="utf-8"?>
<ds:datastoreItem xmlns:ds="http://schemas.openxmlformats.org/officeDocument/2006/customXml" ds:itemID="{0D4EE30C-7A16-45CA-91DC-75B0863BDD1C}"/>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Draft Written Statement</vt:lpstr>
    </vt:vector>
  </TitlesOfParts>
  <Company>Welsh Assembly Government</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Local Government Settlement 2019-20</dc:title>
  <dc:subject/>
  <dc:creator>powelld</dc:creator>
  <cp:keywords/>
  <dc:description/>
  <cp:lastModifiedBy>Oxenham, James (OFM - Cabinet Division)</cp:lastModifiedBy>
  <cp:revision>2</cp:revision>
  <cp:lastPrinted>2018-10-04T06:25:00Z</cp:lastPrinted>
  <dcterms:created xsi:type="dcterms:W3CDTF">2018-10-09T10:41:00Z</dcterms:created>
  <dcterms:modified xsi:type="dcterms:W3CDTF">2018-10-09T10:41:00Z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A15357772</vt:lpwstr>
  </property>
  <property fmtid="{D5CDD505-2E9C-101B-9397-08002B2CF9AE}" pid="3" name="Objective-Title">
    <vt:lpwstr>LGFP - Provisional Local Government Revenue and Capital Settlement for 2017-18 - Written Statement - English</vt:lpwstr>
  </property>
  <property fmtid="{D5CDD505-2E9C-101B-9397-08002B2CF9AE}" pid="4" name="Objective-Comment">
    <vt:lpwstr/>
  </property>
  <property fmtid="{D5CDD505-2E9C-101B-9397-08002B2CF9AE}" pid="5" name="Objective-CreationStamp">
    <vt:filetime>2016-07-19T23:00:00Z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2016-08-15T23:00:00Z</vt:filetime>
  </property>
  <property fmtid="{D5CDD505-2E9C-101B-9397-08002B2CF9AE}" pid="9" name="Objective-ModificationStamp">
    <vt:filetime>2016-08-15T23:00:00Z</vt:filetime>
  </property>
  <property fmtid="{D5CDD505-2E9C-101B-9397-08002B2CF9AE}" pid="10" name="Objective-Owner">
    <vt:lpwstr>Swain, Kim (EPS - LGFP)</vt:lpwstr>
  </property>
  <property fmtid="{D5CDD505-2E9C-101B-9397-08002B2CF9AE}" pid="11" name="Objective-Path">
    <vt:lpwstr>Objective Global Folder:Corporate File Plan:WORKING WITH STAKEHOLDERS:Working with Stakeholders - Public Sector Organisations:Working with Stakeholders - Public Sector - Local Authorities - Non EU Funded:Local Authorities - 2017-2018 - Unitary Authorities</vt:lpwstr>
  </property>
  <property fmtid="{D5CDD505-2E9C-101B-9397-08002B2CF9AE}" pid="12" name="Objective-Parent">
    <vt:lpwstr>Local Authorities - 2017-2018 - Unitary Authorities Settlement - Reports &amp; Outputs</vt:lpwstr>
  </property>
  <property fmtid="{D5CDD505-2E9C-101B-9397-08002B2CF9AE}" pid="13" name="Objective-State">
    <vt:lpwstr>Published</vt:lpwstr>
  </property>
  <property fmtid="{D5CDD505-2E9C-101B-9397-08002B2CF9AE}" pid="14" name="Objective-Version">
    <vt:lpwstr>18.0</vt:lpwstr>
  </property>
  <property fmtid="{D5CDD505-2E9C-101B-9397-08002B2CF9AE}" pid="15" name="Objective-VersionNumber">
    <vt:r8>19</vt:r8>
  </property>
  <property fmtid="{D5CDD505-2E9C-101B-9397-08002B2CF9AE}" pid="16" name="Objective-VersionComment">
    <vt:lpwstr/>
  </property>
  <property fmtid="{D5CDD505-2E9C-101B-9397-08002B2CF9AE}" pid="17" name="Objective-FileNumber">
    <vt:lpwstr>qA1253019</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ContentTypeId">
    <vt:lpwstr>0x010100C32B317B5CB4014E8FDC61FB98CB49750066DDDDA8424970449BEE8C4A4D2809D6</vt:lpwstr>
  </property>
</Properties>
</file>