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DE078E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DE078E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47307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473077">
              <w:rPr>
                <w:rFonts w:ascii="Arial" w:hAnsi="Arial" w:cs="Arial"/>
                <w:b/>
                <w:bCs/>
                <w:sz w:val="24"/>
                <w:lang w:eastAsia="en-GB"/>
              </w:rPr>
              <w:t>NHS Wales Escalation and Intervention Arrangements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DE078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 </w:t>
            </w:r>
            <w:r w:rsidR="003B67F4">
              <w:rPr>
                <w:rFonts w:ascii="Arial" w:hAnsi="Arial" w:cs="Arial"/>
                <w:b/>
                <w:bCs/>
                <w:sz w:val="24"/>
                <w:szCs w:val="24"/>
              </w:rPr>
              <w:t>August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473077" w:rsidP="00DE07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Gething, Cabinet Secretary for Health, Well-being and Sport</w:t>
            </w:r>
          </w:p>
        </w:tc>
      </w:tr>
    </w:tbl>
    <w:p w:rsidR="00EA5290" w:rsidRPr="00A011A1" w:rsidRDefault="00EA5290" w:rsidP="00EA5290"/>
    <w:p w:rsidR="00473077" w:rsidRPr="00DE078E" w:rsidRDefault="00473077" w:rsidP="00DE078E">
      <w:pPr>
        <w:spacing w:after="200"/>
        <w:rPr>
          <w:rFonts w:ascii="Arial" w:eastAsia="Calibri" w:hAnsi="Arial" w:cs="Arial"/>
          <w:sz w:val="24"/>
        </w:rPr>
      </w:pPr>
      <w:r w:rsidRPr="00DE078E">
        <w:rPr>
          <w:rFonts w:ascii="Arial" w:eastAsia="Calibri" w:hAnsi="Arial" w:cs="Arial"/>
          <w:sz w:val="24"/>
        </w:rPr>
        <w:t xml:space="preserve">In March 2014, the joint </w:t>
      </w:r>
      <w:r w:rsidR="007A2181" w:rsidRPr="00DE078E">
        <w:rPr>
          <w:rFonts w:ascii="Arial" w:eastAsia="Calibri" w:hAnsi="Arial" w:cs="Arial"/>
          <w:sz w:val="24"/>
        </w:rPr>
        <w:t xml:space="preserve">Escalation and Intervention Arrangements </w:t>
      </w:r>
      <w:r w:rsidRPr="00DE078E">
        <w:rPr>
          <w:rFonts w:ascii="Arial" w:eastAsia="Calibri" w:hAnsi="Arial" w:cs="Arial"/>
          <w:sz w:val="24"/>
        </w:rPr>
        <w:t>were launched. Under these arrangements, the Welsh Government meets the Wales Audit Office and Healthcare Inspectorate Wales twice a year to discuss the overall position of each health board and NHS trust. A wide range of information and intelligence is considered to help identify any issues to help them be resolved effectively.</w:t>
      </w:r>
    </w:p>
    <w:p w:rsidR="00473077" w:rsidRPr="00DE078E" w:rsidRDefault="00473077" w:rsidP="00DE078E">
      <w:pPr>
        <w:spacing w:after="200"/>
        <w:rPr>
          <w:rFonts w:ascii="Arial" w:eastAsia="Calibri" w:hAnsi="Arial" w:cs="Arial"/>
          <w:sz w:val="24"/>
        </w:rPr>
      </w:pPr>
      <w:r w:rsidRPr="00DE078E">
        <w:rPr>
          <w:rFonts w:ascii="Arial" w:eastAsia="Calibri" w:hAnsi="Arial" w:cs="Arial"/>
          <w:sz w:val="24"/>
        </w:rPr>
        <w:t>This statement informs Assembly Members about the outcome of the latest meeting that was hel</w:t>
      </w:r>
      <w:r w:rsidR="00975ED1" w:rsidRPr="00DE078E">
        <w:rPr>
          <w:rFonts w:ascii="Arial" w:eastAsia="Calibri" w:hAnsi="Arial" w:cs="Arial"/>
          <w:sz w:val="24"/>
        </w:rPr>
        <w:t>d</w:t>
      </w:r>
      <w:r w:rsidRPr="00DE078E">
        <w:rPr>
          <w:rFonts w:ascii="Arial" w:eastAsia="Calibri" w:hAnsi="Arial" w:cs="Arial"/>
          <w:sz w:val="24"/>
        </w:rPr>
        <w:t xml:space="preserve"> on </w:t>
      </w:r>
      <w:r w:rsidR="003B67F4" w:rsidRPr="00DE078E">
        <w:rPr>
          <w:rFonts w:ascii="Arial" w:eastAsia="Calibri" w:hAnsi="Arial" w:cs="Arial"/>
          <w:sz w:val="24"/>
        </w:rPr>
        <w:t xml:space="preserve">18 </w:t>
      </w:r>
      <w:r w:rsidRPr="00DE078E">
        <w:rPr>
          <w:rFonts w:ascii="Arial" w:eastAsia="Calibri" w:hAnsi="Arial" w:cs="Arial"/>
          <w:sz w:val="24"/>
        </w:rPr>
        <w:t xml:space="preserve">July </w:t>
      </w:r>
      <w:r w:rsidR="003B67F4" w:rsidRPr="00DE078E">
        <w:rPr>
          <w:rFonts w:ascii="Arial" w:eastAsia="Calibri" w:hAnsi="Arial" w:cs="Arial"/>
          <w:sz w:val="24"/>
        </w:rPr>
        <w:t>2018</w:t>
      </w:r>
      <w:r w:rsidRPr="00DE078E">
        <w:rPr>
          <w:rFonts w:ascii="Arial" w:eastAsia="Calibri" w:hAnsi="Arial" w:cs="Arial"/>
          <w:sz w:val="24"/>
        </w:rPr>
        <w:t>.</w:t>
      </w:r>
    </w:p>
    <w:p w:rsidR="00473077" w:rsidRPr="00DE078E" w:rsidRDefault="00473077" w:rsidP="00DE078E">
      <w:pPr>
        <w:spacing w:after="200"/>
        <w:rPr>
          <w:rFonts w:ascii="Arial" w:eastAsia="Calibri" w:hAnsi="Arial" w:cs="Arial"/>
          <w:sz w:val="24"/>
        </w:rPr>
      </w:pPr>
      <w:r w:rsidRPr="00DE078E">
        <w:rPr>
          <w:rFonts w:ascii="Arial" w:eastAsia="Calibri" w:hAnsi="Arial" w:cs="Arial"/>
          <w:sz w:val="24"/>
        </w:rPr>
        <w:t>The framework has four escalation levels:</w:t>
      </w:r>
    </w:p>
    <w:p w:rsidR="00473077" w:rsidRPr="00DE078E" w:rsidRDefault="00473077" w:rsidP="00DE078E">
      <w:pPr>
        <w:numPr>
          <w:ilvl w:val="0"/>
          <w:numId w:val="2"/>
        </w:numPr>
        <w:spacing w:after="200"/>
        <w:contextualSpacing/>
        <w:rPr>
          <w:rFonts w:ascii="Arial" w:eastAsia="Calibri" w:hAnsi="Arial" w:cs="Arial"/>
          <w:sz w:val="24"/>
        </w:rPr>
      </w:pPr>
      <w:r w:rsidRPr="00DE078E">
        <w:rPr>
          <w:rFonts w:ascii="Arial" w:eastAsia="Calibri" w:hAnsi="Arial" w:cs="Arial"/>
          <w:sz w:val="24"/>
        </w:rPr>
        <w:t>Routine arrangements</w:t>
      </w:r>
      <w:r w:rsidR="002E2F98" w:rsidRPr="00DE078E">
        <w:rPr>
          <w:rFonts w:ascii="Arial" w:eastAsia="Calibri" w:hAnsi="Arial" w:cs="Arial"/>
          <w:sz w:val="24"/>
        </w:rPr>
        <w:t>;</w:t>
      </w:r>
    </w:p>
    <w:p w:rsidR="00473077" w:rsidRPr="00DE078E" w:rsidRDefault="00473077" w:rsidP="00DE078E">
      <w:pPr>
        <w:numPr>
          <w:ilvl w:val="0"/>
          <w:numId w:val="2"/>
        </w:numPr>
        <w:spacing w:after="200"/>
        <w:contextualSpacing/>
        <w:rPr>
          <w:rFonts w:ascii="Arial" w:eastAsia="Calibri" w:hAnsi="Arial" w:cs="Arial"/>
          <w:sz w:val="24"/>
        </w:rPr>
      </w:pPr>
      <w:r w:rsidRPr="00DE078E">
        <w:rPr>
          <w:rFonts w:ascii="Arial" w:eastAsia="Calibri" w:hAnsi="Arial" w:cs="Arial"/>
          <w:sz w:val="24"/>
        </w:rPr>
        <w:t>Enhanced monitoring</w:t>
      </w:r>
      <w:r w:rsidR="002E2F98" w:rsidRPr="00DE078E">
        <w:rPr>
          <w:rFonts w:ascii="Arial" w:eastAsia="Calibri" w:hAnsi="Arial" w:cs="Arial"/>
          <w:sz w:val="24"/>
        </w:rPr>
        <w:t>;</w:t>
      </w:r>
    </w:p>
    <w:p w:rsidR="00473077" w:rsidRPr="00DE078E" w:rsidRDefault="002E2F98" w:rsidP="00DE078E">
      <w:pPr>
        <w:numPr>
          <w:ilvl w:val="0"/>
          <w:numId w:val="2"/>
        </w:numPr>
        <w:spacing w:after="200"/>
        <w:contextualSpacing/>
        <w:rPr>
          <w:rFonts w:ascii="Arial" w:eastAsia="Calibri" w:hAnsi="Arial" w:cs="Arial"/>
          <w:sz w:val="24"/>
        </w:rPr>
      </w:pPr>
      <w:r w:rsidRPr="00DE078E">
        <w:rPr>
          <w:rFonts w:ascii="Arial" w:eastAsia="Calibri" w:hAnsi="Arial" w:cs="Arial"/>
          <w:sz w:val="24"/>
        </w:rPr>
        <w:t>Targeted intervention;</w:t>
      </w:r>
    </w:p>
    <w:p w:rsidR="00473077" w:rsidRPr="00DE078E" w:rsidRDefault="00473077" w:rsidP="00DE078E">
      <w:pPr>
        <w:numPr>
          <w:ilvl w:val="0"/>
          <w:numId w:val="2"/>
        </w:numPr>
        <w:spacing w:after="200"/>
        <w:contextualSpacing/>
        <w:rPr>
          <w:rFonts w:ascii="Arial" w:eastAsia="Calibri" w:hAnsi="Arial" w:cs="Arial"/>
          <w:sz w:val="24"/>
        </w:rPr>
      </w:pPr>
      <w:r w:rsidRPr="00DE078E">
        <w:rPr>
          <w:rFonts w:ascii="Arial" w:eastAsia="Calibri" w:hAnsi="Arial" w:cs="Arial"/>
          <w:sz w:val="24"/>
        </w:rPr>
        <w:t>Special measures</w:t>
      </w:r>
      <w:r w:rsidR="002E2F98" w:rsidRPr="00DE078E">
        <w:rPr>
          <w:rFonts w:ascii="Arial" w:eastAsia="Calibri" w:hAnsi="Arial" w:cs="Arial"/>
          <w:sz w:val="24"/>
        </w:rPr>
        <w:t>.</w:t>
      </w:r>
    </w:p>
    <w:p w:rsidR="00473077" w:rsidRPr="00DE078E" w:rsidRDefault="00473077" w:rsidP="00DE078E">
      <w:pPr>
        <w:spacing w:after="200"/>
        <w:contextualSpacing/>
        <w:rPr>
          <w:rFonts w:ascii="Arial" w:eastAsia="Calibri" w:hAnsi="Arial" w:cs="Arial"/>
          <w:sz w:val="24"/>
        </w:rPr>
      </w:pPr>
    </w:p>
    <w:p w:rsidR="005C3388" w:rsidRPr="00DE078E" w:rsidRDefault="00473077" w:rsidP="00DE078E">
      <w:pPr>
        <w:spacing w:after="200"/>
        <w:rPr>
          <w:rFonts w:ascii="Arial" w:eastAsia="Calibri" w:hAnsi="Arial" w:cs="Arial"/>
          <w:sz w:val="24"/>
        </w:rPr>
      </w:pPr>
      <w:r w:rsidRPr="00DE078E">
        <w:rPr>
          <w:rFonts w:ascii="Arial" w:eastAsia="Calibri" w:hAnsi="Arial" w:cs="Arial"/>
          <w:sz w:val="24"/>
        </w:rPr>
        <w:t>As a result of the discussi</w:t>
      </w:r>
      <w:r w:rsidR="00B0429D" w:rsidRPr="00DE078E">
        <w:rPr>
          <w:rFonts w:ascii="Arial" w:eastAsia="Calibri" w:hAnsi="Arial" w:cs="Arial"/>
          <w:sz w:val="24"/>
        </w:rPr>
        <w:t>ons, the Welsh Government, Wales</w:t>
      </w:r>
      <w:r w:rsidRPr="00DE078E">
        <w:rPr>
          <w:rFonts w:ascii="Arial" w:eastAsia="Calibri" w:hAnsi="Arial" w:cs="Arial"/>
          <w:sz w:val="24"/>
        </w:rPr>
        <w:t xml:space="preserve"> Audit Office and HIW agreed all organisations will remain at their current escalation level as set out in the table at annex 1.</w:t>
      </w:r>
      <w:r w:rsidR="0096108A" w:rsidRPr="00DE078E">
        <w:rPr>
          <w:rFonts w:ascii="Arial" w:eastAsia="Calibri" w:hAnsi="Arial" w:cs="Arial"/>
          <w:sz w:val="24"/>
        </w:rPr>
        <w:t xml:space="preserve">  </w:t>
      </w:r>
    </w:p>
    <w:p w:rsidR="00DB2D91" w:rsidRPr="00DE078E" w:rsidRDefault="00DB2D91" w:rsidP="00DE078E">
      <w:pPr>
        <w:spacing w:after="200"/>
        <w:rPr>
          <w:rFonts w:ascii="Arial" w:eastAsia="Calibri" w:hAnsi="Arial" w:cs="Arial"/>
          <w:sz w:val="24"/>
        </w:rPr>
      </w:pPr>
      <w:r w:rsidRPr="00DE078E">
        <w:rPr>
          <w:rFonts w:ascii="Arial" w:eastAsia="Calibri" w:hAnsi="Arial" w:cs="Arial"/>
          <w:sz w:val="24"/>
        </w:rPr>
        <w:t>I have already provided members with an update on Betsi Cadwaladr University Health Board.</w:t>
      </w:r>
    </w:p>
    <w:p w:rsidR="00CA0479" w:rsidRPr="00DE078E" w:rsidRDefault="00DB2D91" w:rsidP="00DE078E">
      <w:pPr>
        <w:spacing w:after="200"/>
        <w:rPr>
          <w:rFonts w:ascii="Arial" w:eastAsia="Calibri" w:hAnsi="Arial" w:cs="Arial"/>
          <w:sz w:val="24"/>
        </w:rPr>
      </w:pPr>
      <w:r w:rsidRPr="00DE078E">
        <w:rPr>
          <w:rFonts w:ascii="Arial" w:eastAsia="Calibri" w:hAnsi="Arial" w:cs="Arial"/>
          <w:sz w:val="24"/>
        </w:rPr>
        <w:t>With regard to the three organisations in targeted intervention, o</w:t>
      </w:r>
      <w:r w:rsidR="005C3388" w:rsidRPr="00DE078E">
        <w:rPr>
          <w:rFonts w:ascii="Arial" w:eastAsia="Calibri" w:hAnsi="Arial" w:cs="Arial"/>
          <w:sz w:val="24"/>
        </w:rPr>
        <w:t>ver the last 12 months, progress has been seen</w:t>
      </w:r>
      <w:r w:rsidRPr="00DE078E">
        <w:rPr>
          <w:rFonts w:ascii="Arial" w:eastAsia="Calibri" w:hAnsi="Arial" w:cs="Arial"/>
          <w:sz w:val="24"/>
        </w:rPr>
        <w:t xml:space="preserve">, with both Cardiff and Vale and Hywel Dda University Health Boards achieving performance milestones.  </w:t>
      </w:r>
      <w:r w:rsidR="00CA0479" w:rsidRPr="00DE078E">
        <w:rPr>
          <w:rFonts w:ascii="Arial" w:eastAsia="Calibri" w:hAnsi="Arial" w:cs="Arial"/>
          <w:sz w:val="24"/>
        </w:rPr>
        <w:t>In Hywel Dda, t</w:t>
      </w:r>
      <w:r w:rsidR="00907CFA" w:rsidRPr="00DE078E">
        <w:rPr>
          <w:rFonts w:ascii="Arial" w:eastAsia="Calibri" w:hAnsi="Arial" w:cs="Arial"/>
          <w:sz w:val="24"/>
        </w:rPr>
        <w:t>he outstanding issue remains finance, though the recent baseline review will help the organisation.</w:t>
      </w:r>
    </w:p>
    <w:p w:rsidR="005C3388" w:rsidRPr="00DE078E" w:rsidRDefault="00DB2D91" w:rsidP="00DE078E">
      <w:pPr>
        <w:spacing w:after="200"/>
        <w:rPr>
          <w:rFonts w:ascii="Arial" w:eastAsia="Calibri" w:hAnsi="Arial" w:cs="Arial"/>
          <w:sz w:val="24"/>
        </w:rPr>
      </w:pPr>
      <w:r w:rsidRPr="00DE078E">
        <w:rPr>
          <w:rFonts w:ascii="Arial" w:eastAsia="Calibri" w:hAnsi="Arial" w:cs="Arial"/>
          <w:sz w:val="24"/>
        </w:rPr>
        <w:t xml:space="preserve">In Abertawe Bro Morgannwg University Health Board, a new Chief Executive has been appointed and there have been changes to the Executive Team.  </w:t>
      </w:r>
      <w:r w:rsidR="00CA0479" w:rsidRPr="00DE078E">
        <w:rPr>
          <w:rFonts w:ascii="Arial" w:eastAsia="Calibri" w:hAnsi="Arial" w:cs="Arial"/>
          <w:sz w:val="24"/>
        </w:rPr>
        <w:t xml:space="preserve">There has been a gradual improvement in performance and I expect this to be sustained.  </w:t>
      </w:r>
      <w:r w:rsidRPr="00DE078E">
        <w:rPr>
          <w:rFonts w:ascii="Arial" w:eastAsia="Calibri" w:hAnsi="Arial" w:cs="Arial"/>
          <w:sz w:val="24"/>
        </w:rPr>
        <w:t xml:space="preserve">I recognise there is </w:t>
      </w:r>
      <w:r w:rsidR="00CA0479" w:rsidRPr="00DE078E">
        <w:rPr>
          <w:rFonts w:ascii="Arial" w:eastAsia="Calibri" w:hAnsi="Arial" w:cs="Arial"/>
          <w:sz w:val="24"/>
        </w:rPr>
        <w:t xml:space="preserve">still </w:t>
      </w:r>
      <w:r w:rsidR="00CA0479" w:rsidRPr="00DE078E">
        <w:rPr>
          <w:rFonts w:ascii="Arial" w:eastAsia="Calibri" w:hAnsi="Arial" w:cs="Arial"/>
          <w:sz w:val="24"/>
        </w:rPr>
        <w:lastRenderedPageBreak/>
        <w:t>further work to do across all three organisations and my officials continue to work closely with them.</w:t>
      </w:r>
    </w:p>
    <w:p w:rsidR="00C95A13" w:rsidRPr="00DE078E" w:rsidRDefault="0096108A" w:rsidP="00DE078E">
      <w:pPr>
        <w:spacing w:after="200"/>
        <w:rPr>
          <w:rFonts w:ascii="Arial" w:eastAsia="Calibri" w:hAnsi="Arial" w:cs="Arial"/>
          <w:sz w:val="24"/>
        </w:rPr>
      </w:pPr>
      <w:r w:rsidRPr="00DE078E">
        <w:rPr>
          <w:rFonts w:ascii="Arial" w:eastAsia="Calibri" w:hAnsi="Arial" w:cs="Arial"/>
          <w:sz w:val="24"/>
        </w:rPr>
        <w:t>I continue to have expectations for improvement from each of the escalated organisations and their progress will continue to be monitored through formal accountability arrangements and discussions with officials.</w:t>
      </w:r>
    </w:p>
    <w:p w:rsidR="00DE078E" w:rsidRDefault="00DE078E" w:rsidP="00DE078E">
      <w:pPr>
        <w:pStyle w:val="Header"/>
        <w:rPr>
          <w:rFonts w:ascii="Arial" w:hAnsi="Arial" w:cs="Arial"/>
          <w:sz w:val="24"/>
          <w:szCs w:val="24"/>
        </w:rPr>
      </w:pPr>
      <w:r w:rsidRPr="00473077">
        <w:rPr>
          <w:rFonts w:ascii="Arial" w:hAnsi="Arial" w:cs="Arial"/>
          <w:sz w:val="24"/>
          <w:szCs w:val="24"/>
        </w:rPr>
        <w:t>Annex 1</w:t>
      </w:r>
    </w:p>
    <w:p w:rsidR="00DE078E" w:rsidRDefault="00DE078E" w:rsidP="00DE078E">
      <w:pPr>
        <w:pStyle w:val="Head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5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36"/>
        <w:gridCol w:w="2937"/>
      </w:tblGrid>
      <w:tr w:rsidR="00DE078E" w:rsidRPr="0049568E" w:rsidTr="00DE078E">
        <w:tc>
          <w:tcPr>
            <w:tcW w:w="3369" w:type="dxa"/>
            <w:shd w:val="clear" w:color="auto" w:fill="BFBFBF"/>
          </w:tcPr>
          <w:p w:rsidR="00DE078E" w:rsidRPr="00D85DD1" w:rsidRDefault="00DE078E" w:rsidP="00DE078E">
            <w:pPr>
              <w:rPr>
                <w:rFonts w:ascii="Arial" w:eastAsia="Calibri" w:hAnsi="Arial" w:cs="Arial"/>
                <w:b/>
                <w:szCs w:val="22"/>
              </w:rPr>
            </w:pPr>
            <w:r w:rsidRPr="00D85DD1">
              <w:rPr>
                <w:rFonts w:ascii="Arial" w:eastAsia="Calibri" w:hAnsi="Arial" w:cs="Arial"/>
                <w:b/>
                <w:szCs w:val="22"/>
              </w:rPr>
              <w:t>Organisation</w:t>
            </w:r>
          </w:p>
        </w:tc>
        <w:tc>
          <w:tcPr>
            <w:tcW w:w="2936" w:type="dxa"/>
            <w:shd w:val="clear" w:color="auto" w:fill="BFBFBF"/>
          </w:tcPr>
          <w:p w:rsidR="00DE078E" w:rsidRPr="00D85DD1" w:rsidRDefault="00DE078E" w:rsidP="00DE078E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D85DD1">
              <w:rPr>
                <w:rFonts w:ascii="Arial" w:eastAsia="Calibri" w:hAnsi="Arial" w:cs="Arial"/>
                <w:b/>
                <w:szCs w:val="22"/>
              </w:rPr>
              <w:t>Previous Status</w:t>
            </w:r>
          </w:p>
        </w:tc>
        <w:tc>
          <w:tcPr>
            <w:tcW w:w="2937" w:type="dxa"/>
            <w:shd w:val="clear" w:color="auto" w:fill="BFBFBF"/>
          </w:tcPr>
          <w:p w:rsidR="00DE078E" w:rsidRPr="00D85DD1" w:rsidRDefault="00DE078E" w:rsidP="00DE078E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D85DD1">
              <w:rPr>
                <w:rFonts w:ascii="Arial" w:eastAsia="Calibri" w:hAnsi="Arial" w:cs="Arial"/>
                <w:b/>
                <w:szCs w:val="22"/>
              </w:rPr>
              <w:t>Current Status</w:t>
            </w:r>
          </w:p>
        </w:tc>
      </w:tr>
      <w:tr w:rsidR="00DE078E" w:rsidRPr="0049568E" w:rsidTr="00DE078E">
        <w:tc>
          <w:tcPr>
            <w:tcW w:w="3369" w:type="dxa"/>
            <w:shd w:val="clear" w:color="auto" w:fill="auto"/>
          </w:tcPr>
          <w:p w:rsidR="00DE078E" w:rsidRPr="00D85DD1" w:rsidRDefault="00DE078E" w:rsidP="00DE078E">
            <w:pPr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Abertawe Bro Morgannwg UHB</w:t>
            </w:r>
          </w:p>
        </w:tc>
        <w:tc>
          <w:tcPr>
            <w:tcW w:w="2936" w:type="dxa"/>
            <w:shd w:val="clear" w:color="auto" w:fill="auto"/>
          </w:tcPr>
          <w:p w:rsidR="00DE078E" w:rsidRPr="00D85DD1" w:rsidRDefault="00DE078E" w:rsidP="00DE078E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Targeted intervention</w:t>
            </w:r>
          </w:p>
        </w:tc>
        <w:tc>
          <w:tcPr>
            <w:tcW w:w="2937" w:type="dxa"/>
            <w:shd w:val="clear" w:color="auto" w:fill="auto"/>
          </w:tcPr>
          <w:p w:rsidR="00DE078E" w:rsidRPr="00D85DD1" w:rsidRDefault="00DE078E" w:rsidP="00DE078E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Targeted intervention</w:t>
            </w:r>
          </w:p>
        </w:tc>
      </w:tr>
      <w:tr w:rsidR="00DE078E" w:rsidRPr="0049568E" w:rsidTr="00DE078E">
        <w:tc>
          <w:tcPr>
            <w:tcW w:w="3369" w:type="dxa"/>
            <w:shd w:val="clear" w:color="auto" w:fill="auto"/>
          </w:tcPr>
          <w:p w:rsidR="00DE078E" w:rsidRPr="00D85DD1" w:rsidRDefault="00DE078E" w:rsidP="00DE078E">
            <w:pPr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Aneurin Bevan UHB</w:t>
            </w:r>
          </w:p>
        </w:tc>
        <w:tc>
          <w:tcPr>
            <w:tcW w:w="2936" w:type="dxa"/>
            <w:shd w:val="clear" w:color="auto" w:fill="auto"/>
          </w:tcPr>
          <w:p w:rsidR="00DE078E" w:rsidRPr="00D85DD1" w:rsidRDefault="00DE078E" w:rsidP="00DE078E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Routine arrangements</w:t>
            </w:r>
          </w:p>
        </w:tc>
        <w:tc>
          <w:tcPr>
            <w:tcW w:w="2937" w:type="dxa"/>
            <w:shd w:val="clear" w:color="auto" w:fill="auto"/>
          </w:tcPr>
          <w:p w:rsidR="00DE078E" w:rsidRPr="00D85DD1" w:rsidRDefault="00DE078E" w:rsidP="00DE078E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Routine arrangements</w:t>
            </w:r>
          </w:p>
        </w:tc>
      </w:tr>
      <w:tr w:rsidR="00DE078E" w:rsidRPr="0049568E" w:rsidTr="00DE078E">
        <w:tc>
          <w:tcPr>
            <w:tcW w:w="3369" w:type="dxa"/>
            <w:shd w:val="clear" w:color="auto" w:fill="auto"/>
          </w:tcPr>
          <w:p w:rsidR="00DE078E" w:rsidRPr="00D85DD1" w:rsidRDefault="00DE078E" w:rsidP="00DE078E">
            <w:pPr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Betsi Cadwaladr UHB</w:t>
            </w:r>
          </w:p>
        </w:tc>
        <w:tc>
          <w:tcPr>
            <w:tcW w:w="2936" w:type="dxa"/>
            <w:shd w:val="clear" w:color="auto" w:fill="auto"/>
          </w:tcPr>
          <w:p w:rsidR="00DE078E" w:rsidRPr="00D85DD1" w:rsidRDefault="00DE078E" w:rsidP="00DE078E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Special measures</w:t>
            </w:r>
          </w:p>
        </w:tc>
        <w:tc>
          <w:tcPr>
            <w:tcW w:w="2937" w:type="dxa"/>
            <w:shd w:val="clear" w:color="auto" w:fill="auto"/>
          </w:tcPr>
          <w:p w:rsidR="00DE078E" w:rsidRPr="00D85DD1" w:rsidRDefault="00DE078E" w:rsidP="00DE078E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Special measures</w:t>
            </w:r>
          </w:p>
        </w:tc>
      </w:tr>
      <w:tr w:rsidR="00DE078E" w:rsidRPr="0049568E" w:rsidTr="00DE078E">
        <w:tc>
          <w:tcPr>
            <w:tcW w:w="3369" w:type="dxa"/>
            <w:shd w:val="clear" w:color="auto" w:fill="auto"/>
          </w:tcPr>
          <w:p w:rsidR="00DE078E" w:rsidRPr="00D85DD1" w:rsidRDefault="00DE078E" w:rsidP="00DE078E">
            <w:pPr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Cardiff and Vale UHB</w:t>
            </w:r>
          </w:p>
        </w:tc>
        <w:tc>
          <w:tcPr>
            <w:tcW w:w="2936" w:type="dxa"/>
            <w:shd w:val="clear" w:color="auto" w:fill="auto"/>
          </w:tcPr>
          <w:p w:rsidR="00DE078E" w:rsidRPr="00D85DD1" w:rsidRDefault="00DE078E" w:rsidP="00DE078E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Targeted intervention</w:t>
            </w:r>
          </w:p>
        </w:tc>
        <w:tc>
          <w:tcPr>
            <w:tcW w:w="2937" w:type="dxa"/>
            <w:shd w:val="clear" w:color="auto" w:fill="auto"/>
          </w:tcPr>
          <w:p w:rsidR="00DE078E" w:rsidRPr="00D85DD1" w:rsidRDefault="00DE078E" w:rsidP="00DE078E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Targeted intervention</w:t>
            </w:r>
          </w:p>
        </w:tc>
      </w:tr>
      <w:tr w:rsidR="00DE078E" w:rsidRPr="0049568E" w:rsidTr="00DE078E">
        <w:tc>
          <w:tcPr>
            <w:tcW w:w="3369" w:type="dxa"/>
            <w:shd w:val="clear" w:color="auto" w:fill="auto"/>
          </w:tcPr>
          <w:p w:rsidR="00DE078E" w:rsidRPr="00D85DD1" w:rsidRDefault="00DE078E" w:rsidP="00DE078E">
            <w:pPr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Cwm Taf UHB</w:t>
            </w:r>
          </w:p>
        </w:tc>
        <w:tc>
          <w:tcPr>
            <w:tcW w:w="2936" w:type="dxa"/>
            <w:shd w:val="clear" w:color="auto" w:fill="auto"/>
          </w:tcPr>
          <w:p w:rsidR="00DE078E" w:rsidRPr="00D85DD1" w:rsidRDefault="00DE078E" w:rsidP="00DE078E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Routine arrangements</w:t>
            </w:r>
          </w:p>
        </w:tc>
        <w:tc>
          <w:tcPr>
            <w:tcW w:w="2937" w:type="dxa"/>
            <w:shd w:val="clear" w:color="auto" w:fill="auto"/>
          </w:tcPr>
          <w:p w:rsidR="00DE078E" w:rsidRPr="00D85DD1" w:rsidRDefault="00DE078E" w:rsidP="00DE078E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Routine arrangements</w:t>
            </w:r>
          </w:p>
        </w:tc>
      </w:tr>
      <w:tr w:rsidR="00DE078E" w:rsidRPr="0049568E" w:rsidTr="00DE078E">
        <w:tc>
          <w:tcPr>
            <w:tcW w:w="3369" w:type="dxa"/>
            <w:shd w:val="clear" w:color="auto" w:fill="auto"/>
          </w:tcPr>
          <w:p w:rsidR="00DE078E" w:rsidRPr="00D85DD1" w:rsidRDefault="00DE078E" w:rsidP="00DE078E">
            <w:pPr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Hywel Dda UHB</w:t>
            </w:r>
          </w:p>
        </w:tc>
        <w:tc>
          <w:tcPr>
            <w:tcW w:w="2936" w:type="dxa"/>
            <w:shd w:val="clear" w:color="auto" w:fill="auto"/>
          </w:tcPr>
          <w:p w:rsidR="00DE078E" w:rsidRPr="00D85DD1" w:rsidRDefault="00DE078E" w:rsidP="00DE078E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Targeted intervention</w:t>
            </w:r>
          </w:p>
        </w:tc>
        <w:tc>
          <w:tcPr>
            <w:tcW w:w="2937" w:type="dxa"/>
            <w:shd w:val="clear" w:color="auto" w:fill="auto"/>
          </w:tcPr>
          <w:p w:rsidR="00DE078E" w:rsidRPr="00D85DD1" w:rsidRDefault="00DE078E" w:rsidP="00DE078E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Targeted intervention</w:t>
            </w:r>
          </w:p>
        </w:tc>
      </w:tr>
      <w:tr w:rsidR="00DE078E" w:rsidRPr="0049568E" w:rsidTr="00DE078E">
        <w:tc>
          <w:tcPr>
            <w:tcW w:w="3369" w:type="dxa"/>
            <w:shd w:val="clear" w:color="auto" w:fill="auto"/>
          </w:tcPr>
          <w:p w:rsidR="00DE078E" w:rsidRPr="00D85DD1" w:rsidRDefault="00DE078E" w:rsidP="00DE078E">
            <w:pPr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Powys tHB</w:t>
            </w:r>
          </w:p>
        </w:tc>
        <w:tc>
          <w:tcPr>
            <w:tcW w:w="2936" w:type="dxa"/>
            <w:shd w:val="clear" w:color="auto" w:fill="auto"/>
          </w:tcPr>
          <w:p w:rsidR="00DE078E" w:rsidRPr="00D85DD1" w:rsidRDefault="00DE078E" w:rsidP="00DE078E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Routine arrangements</w:t>
            </w:r>
          </w:p>
        </w:tc>
        <w:tc>
          <w:tcPr>
            <w:tcW w:w="2937" w:type="dxa"/>
            <w:shd w:val="clear" w:color="auto" w:fill="auto"/>
          </w:tcPr>
          <w:p w:rsidR="00DE078E" w:rsidRPr="00D85DD1" w:rsidRDefault="00DE078E" w:rsidP="00DE078E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Routine arrangements</w:t>
            </w:r>
          </w:p>
        </w:tc>
      </w:tr>
      <w:tr w:rsidR="00DE078E" w:rsidRPr="0049568E" w:rsidTr="00DE078E">
        <w:tc>
          <w:tcPr>
            <w:tcW w:w="3369" w:type="dxa"/>
            <w:shd w:val="clear" w:color="auto" w:fill="auto"/>
          </w:tcPr>
          <w:p w:rsidR="00DE078E" w:rsidRPr="00D85DD1" w:rsidRDefault="00DE078E" w:rsidP="00DE078E">
            <w:pPr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Public Health Wales NHS Trust</w:t>
            </w:r>
          </w:p>
        </w:tc>
        <w:tc>
          <w:tcPr>
            <w:tcW w:w="2936" w:type="dxa"/>
            <w:shd w:val="clear" w:color="auto" w:fill="auto"/>
          </w:tcPr>
          <w:p w:rsidR="00DE078E" w:rsidRPr="00D85DD1" w:rsidRDefault="00DE078E" w:rsidP="00DE078E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Routine arrangements</w:t>
            </w:r>
          </w:p>
        </w:tc>
        <w:tc>
          <w:tcPr>
            <w:tcW w:w="2937" w:type="dxa"/>
            <w:shd w:val="clear" w:color="auto" w:fill="auto"/>
          </w:tcPr>
          <w:p w:rsidR="00DE078E" w:rsidRPr="00D85DD1" w:rsidRDefault="00DE078E" w:rsidP="00DE078E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Routine arrangements</w:t>
            </w:r>
          </w:p>
        </w:tc>
      </w:tr>
      <w:tr w:rsidR="00DE078E" w:rsidRPr="0049568E" w:rsidTr="00DE078E">
        <w:tc>
          <w:tcPr>
            <w:tcW w:w="3369" w:type="dxa"/>
            <w:shd w:val="clear" w:color="auto" w:fill="auto"/>
          </w:tcPr>
          <w:p w:rsidR="00DE078E" w:rsidRPr="00D85DD1" w:rsidRDefault="00DE078E" w:rsidP="00DE078E">
            <w:pPr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 xml:space="preserve">Velindre NHS Trust </w:t>
            </w:r>
          </w:p>
        </w:tc>
        <w:tc>
          <w:tcPr>
            <w:tcW w:w="2936" w:type="dxa"/>
            <w:shd w:val="clear" w:color="auto" w:fill="auto"/>
          </w:tcPr>
          <w:p w:rsidR="00DE078E" w:rsidRPr="00D85DD1" w:rsidRDefault="00DE078E" w:rsidP="00DE078E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Routine arrangements</w:t>
            </w:r>
          </w:p>
        </w:tc>
        <w:tc>
          <w:tcPr>
            <w:tcW w:w="2937" w:type="dxa"/>
            <w:shd w:val="clear" w:color="auto" w:fill="auto"/>
          </w:tcPr>
          <w:p w:rsidR="00DE078E" w:rsidRPr="00D85DD1" w:rsidRDefault="00DE078E" w:rsidP="00DE078E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Routine arrangements</w:t>
            </w:r>
          </w:p>
        </w:tc>
      </w:tr>
      <w:tr w:rsidR="00DE078E" w:rsidRPr="0049568E" w:rsidTr="00DE078E">
        <w:tc>
          <w:tcPr>
            <w:tcW w:w="3369" w:type="dxa"/>
            <w:shd w:val="clear" w:color="auto" w:fill="auto"/>
          </w:tcPr>
          <w:p w:rsidR="00DE078E" w:rsidRPr="00D85DD1" w:rsidRDefault="00DE078E" w:rsidP="00DE078E">
            <w:pPr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Welsh Ambulance Services NHS Trust</w:t>
            </w:r>
          </w:p>
        </w:tc>
        <w:tc>
          <w:tcPr>
            <w:tcW w:w="2936" w:type="dxa"/>
            <w:shd w:val="clear" w:color="auto" w:fill="auto"/>
          </w:tcPr>
          <w:p w:rsidR="00DE078E" w:rsidRPr="00D85DD1" w:rsidRDefault="00DE078E" w:rsidP="00DE078E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Routine arrangements</w:t>
            </w:r>
          </w:p>
        </w:tc>
        <w:tc>
          <w:tcPr>
            <w:tcW w:w="2937" w:type="dxa"/>
            <w:shd w:val="clear" w:color="auto" w:fill="auto"/>
          </w:tcPr>
          <w:p w:rsidR="00DE078E" w:rsidRPr="00D85DD1" w:rsidRDefault="00DE078E" w:rsidP="00DE078E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D85DD1">
              <w:rPr>
                <w:rFonts w:ascii="Arial" w:eastAsia="Calibri" w:hAnsi="Arial" w:cs="Arial"/>
                <w:szCs w:val="22"/>
              </w:rPr>
              <w:t>Routine arrangements</w:t>
            </w:r>
          </w:p>
        </w:tc>
      </w:tr>
    </w:tbl>
    <w:p w:rsidR="00DE078E" w:rsidRPr="00473077" w:rsidRDefault="00DE078E" w:rsidP="00DE078E">
      <w:pPr>
        <w:pStyle w:val="Header"/>
        <w:rPr>
          <w:rFonts w:ascii="Arial" w:hAnsi="Arial" w:cs="Arial"/>
          <w:sz w:val="24"/>
          <w:szCs w:val="24"/>
        </w:rPr>
      </w:pPr>
    </w:p>
    <w:p w:rsidR="00DE078E" w:rsidRDefault="00DE078E" w:rsidP="00C95A13">
      <w:pPr>
        <w:spacing w:after="200" w:line="360" w:lineRule="auto"/>
        <w:rPr>
          <w:rFonts w:ascii="Arial" w:eastAsia="Calibri" w:hAnsi="Arial" w:cs="Arial"/>
        </w:rPr>
      </w:pPr>
    </w:p>
    <w:p w:rsidR="00DE078E" w:rsidRPr="00DE078E" w:rsidRDefault="00DE078E" w:rsidP="00DE078E">
      <w:pPr>
        <w:rPr>
          <w:rFonts w:ascii="Arial" w:eastAsia="Calibri" w:hAnsi="Arial" w:cs="Arial"/>
        </w:rPr>
      </w:pPr>
    </w:p>
    <w:p w:rsidR="00DE078E" w:rsidRPr="00DE078E" w:rsidRDefault="00DE078E" w:rsidP="00DE078E">
      <w:pPr>
        <w:rPr>
          <w:rFonts w:ascii="Arial" w:eastAsia="Calibri" w:hAnsi="Arial" w:cs="Arial"/>
        </w:rPr>
      </w:pPr>
    </w:p>
    <w:p w:rsidR="00DE078E" w:rsidRPr="00DE078E" w:rsidRDefault="00DE078E" w:rsidP="00DE078E">
      <w:pPr>
        <w:rPr>
          <w:rFonts w:ascii="Arial" w:eastAsia="Calibri" w:hAnsi="Arial" w:cs="Arial"/>
        </w:rPr>
      </w:pPr>
    </w:p>
    <w:p w:rsidR="00DE078E" w:rsidRPr="00DE078E" w:rsidRDefault="00DE078E" w:rsidP="00DE078E">
      <w:pPr>
        <w:rPr>
          <w:rFonts w:ascii="Arial" w:eastAsia="Calibri" w:hAnsi="Arial" w:cs="Arial"/>
        </w:rPr>
      </w:pPr>
    </w:p>
    <w:p w:rsidR="00DE078E" w:rsidRPr="00DE078E" w:rsidRDefault="00DE078E" w:rsidP="00DE078E">
      <w:pPr>
        <w:rPr>
          <w:rFonts w:ascii="Arial" w:eastAsia="Calibri" w:hAnsi="Arial" w:cs="Arial"/>
        </w:rPr>
      </w:pPr>
    </w:p>
    <w:p w:rsidR="00DE078E" w:rsidRPr="00DE078E" w:rsidRDefault="00DE078E" w:rsidP="00DE078E">
      <w:pPr>
        <w:rPr>
          <w:rFonts w:ascii="Arial" w:eastAsia="Calibri" w:hAnsi="Arial" w:cs="Arial"/>
        </w:rPr>
      </w:pPr>
    </w:p>
    <w:p w:rsidR="00DE078E" w:rsidRPr="00DE078E" w:rsidRDefault="00DE078E" w:rsidP="00DE078E">
      <w:pPr>
        <w:rPr>
          <w:rFonts w:ascii="Arial" w:eastAsia="Calibri" w:hAnsi="Arial" w:cs="Arial"/>
        </w:rPr>
      </w:pPr>
    </w:p>
    <w:p w:rsidR="00DE078E" w:rsidRPr="00DE078E" w:rsidRDefault="00DE078E" w:rsidP="00DE078E">
      <w:pPr>
        <w:rPr>
          <w:rFonts w:ascii="Arial" w:eastAsia="Calibri" w:hAnsi="Arial" w:cs="Arial"/>
        </w:rPr>
      </w:pPr>
    </w:p>
    <w:p w:rsidR="00DE078E" w:rsidRPr="00DE078E" w:rsidRDefault="00DE078E" w:rsidP="00DE078E">
      <w:pPr>
        <w:rPr>
          <w:rFonts w:ascii="Arial" w:eastAsia="Calibri" w:hAnsi="Arial" w:cs="Arial"/>
        </w:rPr>
      </w:pPr>
    </w:p>
    <w:p w:rsidR="00DE078E" w:rsidRPr="00DE078E" w:rsidRDefault="00DE078E" w:rsidP="00DE078E">
      <w:pPr>
        <w:rPr>
          <w:rFonts w:ascii="Arial" w:eastAsia="Calibri" w:hAnsi="Arial" w:cs="Arial"/>
        </w:rPr>
      </w:pPr>
    </w:p>
    <w:p w:rsidR="00DE078E" w:rsidRPr="00DE078E" w:rsidRDefault="00DE078E" w:rsidP="00DE078E">
      <w:pPr>
        <w:rPr>
          <w:rFonts w:ascii="Arial" w:eastAsia="Calibri" w:hAnsi="Arial" w:cs="Arial"/>
        </w:rPr>
      </w:pPr>
    </w:p>
    <w:p w:rsidR="00DE078E" w:rsidRPr="00DE078E" w:rsidRDefault="00DE078E" w:rsidP="00DE078E">
      <w:pPr>
        <w:tabs>
          <w:tab w:val="left" w:pos="1230"/>
        </w:tabs>
        <w:rPr>
          <w:rFonts w:ascii="Arial" w:eastAsia="Calibri" w:hAnsi="Arial" w:cs="Arial"/>
          <w:sz w:val="24"/>
        </w:rPr>
      </w:pPr>
      <w:r w:rsidRPr="00DE078E">
        <w:rPr>
          <w:rFonts w:ascii="Arial" w:eastAsia="Calibri" w:hAnsi="Arial" w:cs="Arial"/>
          <w:sz w:val="24"/>
        </w:rPr>
        <w:t>This statement is being issued during recess in order to keep members informed. Should members wish me to make a further statement or to answer questions on this when the Assembly returns I would be happy to do so</w:t>
      </w:r>
    </w:p>
    <w:p w:rsidR="00DE078E" w:rsidRDefault="00DE078E" w:rsidP="00DE078E">
      <w:pPr>
        <w:rPr>
          <w:rFonts w:ascii="Arial" w:eastAsia="Calibri" w:hAnsi="Arial" w:cs="Arial"/>
        </w:rPr>
      </w:pPr>
    </w:p>
    <w:p w:rsidR="00473077" w:rsidRDefault="00473077" w:rsidP="00EA5290">
      <w:pPr>
        <w:pStyle w:val="BodyText"/>
        <w:jc w:val="left"/>
        <w:rPr>
          <w:lang w:val="en-US"/>
        </w:rPr>
      </w:pPr>
    </w:p>
    <w:p w:rsidR="00A845A9" w:rsidRDefault="00A845A9" w:rsidP="00A845A9"/>
    <w:sectPr w:rsidR="00A845A9" w:rsidSect="001A39E2">
      <w:headerReference w:type="first" r:id="rId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78" w:rsidRDefault="00504A78">
      <w:r>
        <w:separator/>
      </w:r>
    </w:p>
  </w:endnote>
  <w:endnote w:type="continuationSeparator" w:id="0">
    <w:p w:rsidR="00504A78" w:rsidRDefault="0050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78" w:rsidRDefault="00504A78">
      <w:r>
        <w:separator/>
      </w:r>
    </w:p>
  </w:footnote>
  <w:footnote w:type="continuationSeparator" w:id="0">
    <w:p w:rsidR="00504A78" w:rsidRDefault="00504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79" w:rsidRPr="00DE078E" w:rsidRDefault="00CA0479" w:rsidP="00DE0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9E0"/>
    <w:multiLevelType w:val="hybridMultilevel"/>
    <w:tmpl w:val="F2600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554C7"/>
    <w:rsid w:val="00082B81"/>
    <w:rsid w:val="00090C3D"/>
    <w:rsid w:val="00097118"/>
    <w:rsid w:val="000C3A52"/>
    <w:rsid w:val="000C53DB"/>
    <w:rsid w:val="00134918"/>
    <w:rsid w:val="001460B1"/>
    <w:rsid w:val="0017102C"/>
    <w:rsid w:val="0019455D"/>
    <w:rsid w:val="001A39E2"/>
    <w:rsid w:val="001A6AF1"/>
    <w:rsid w:val="001B027C"/>
    <w:rsid w:val="001B288D"/>
    <w:rsid w:val="001C532F"/>
    <w:rsid w:val="001E5224"/>
    <w:rsid w:val="00214B25"/>
    <w:rsid w:val="00223E62"/>
    <w:rsid w:val="00274F08"/>
    <w:rsid w:val="002A5310"/>
    <w:rsid w:val="002C11E1"/>
    <w:rsid w:val="002C204F"/>
    <w:rsid w:val="002C57B6"/>
    <w:rsid w:val="002E2F98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B67F4"/>
    <w:rsid w:val="003C5133"/>
    <w:rsid w:val="00412673"/>
    <w:rsid w:val="0043031D"/>
    <w:rsid w:val="0046757C"/>
    <w:rsid w:val="00473077"/>
    <w:rsid w:val="00504A78"/>
    <w:rsid w:val="00560F1F"/>
    <w:rsid w:val="00574BB3"/>
    <w:rsid w:val="00580094"/>
    <w:rsid w:val="005A22E2"/>
    <w:rsid w:val="005B030B"/>
    <w:rsid w:val="005C3388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05A4"/>
    <w:rsid w:val="00710872"/>
    <w:rsid w:val="0073380E"/>
    <w:rsid w:val="00743B79"/>
    <w:rsid w:val="007523BC"/>
    <w:rsid w:val="00752C48"/>
    <w:rsid w:val="007A05FB"/>
    <w:rsid w:val="007A2181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46C49"/>
    <w:rsid w:val="00877BD2"/>
    <w:rsid w:val="008B7927"/>
    <w:rsid w:val="008D1E0B"/>
    <w:rsid w:val="008F0CC6"/>
    <w:rsid w:val="008F789E"/>
    <w:rsid w:val="00905771"/>
    <w:rsid w:val="00907CFA"/>
    <w:rsid w:val="00953A46"/>
    <w:rsid w:val="0096108A"/>
    <w:rsid w:val="00967473"/>
    <w:rsid w:val="00973090"/>
    <w:rsid w:val="00975ED1"/>
    <w:rsid w:val="00995EEC"/>
    <w:rsid w:val="009D26D8"/>
    <w:rsid w:val="009D765B"/>
    <w:rsid w:val="009E4974"/>
    <w:rsid w:val="009F06C3"/>
    <w:rsid w:val="00A204C9"/>
    <w:rsid w:val="00A23742"/>
    <w:rsid w:val="00A3247B"/>
    <w:rsid w:val="00A34BE9"/>
    <w:rsid w:val="00A72CF3"/>
    <w:rsid w:val="00A82A45"/>
    <w:rsid w:val="00A845A9"/>
    <w:rsid w:val="00A86958"/>
    <w:rsid w:val="00AA5651"/>
    <w:rsid w:val="00AA5848"/>
    <w:rsid w:val="00AA7750"/>
    <w:rsid w:val="00AA776B"/>
    <w:rsid w:val="00AD65F1"/>
    <w:rsid w:val="00AE064D"/>
    <w:rsid w:val="00AF056B"/>
    <w:rsid w:val="00B0429D"/>
    <w:rsid w:val="00B049B1"/>
    <w:rsid w:val="00B07C47"/>
    <w:rsid w:val="00B239BA"/>
    <w:rsid w:val="00B468BB"/>
    <w:rsid w:val="00B81F17"/>
    <w:rsid w:val="00C43B4A"/>
    <w:rsid w:val="00C64FA5"/>
    <w:rsid w:val="00C84A12"/>
    <w:rsid w:val="00C95A13"/>
    <w:rsid w:val="00CA0479"/>
    <w:rsid w:val="00CF3DC5"/>
    <w:rsid w:val="00D017E2"/>
    <w:rsid w:val="00D10D6B"/>
    <w:rsid w:val="00D16D97"/>
    <w:rsid w:val="00D27F42"/>
    <w:rsid w:val="00D84713"/>
    <w:rsid w:val="00D85DD1"/>
    <w:rsid w:val="00DB2D91"/>
    <w:rsid w:val="00DD4072"/>
    <w:rsid w:val="00DD4B82"/>
    <w:rsid w:val="00DE078E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4730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072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DE078E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4730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072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DE078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2018-08-21T23:00:00+00:00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1003F0BB-5465-4C69-BDBB-2FE71B6A5CA8}"/>
</file>

<file path=customXml/itemProps2.xml><?xml version="1.0" encoding="utf-8"?>
<ds:datastoreItem xmlns:ds="http://schemas.openxmlformats.org/officeDocument/2006/customXml" ds:itemID="{2895C3FD-4934-496A-B1E5-4C6895A41E78}"/>
</file>

<file path=customXml/itemProps3.xml><?xml version="1.0" encoding="utf-8"?>
<ds:datastoreItem xmlns:ds="http://schemas.openxmlformats.org/officeDocument/2006/customXml" ds:itemID="{0A6F773A-FA9F-4C98-ADA1-9CB9AA25323E}"/>
</file>

<file path=docProps/app.xml><?xml version="1.0" encoding="utf-8"?>
<Properties xmlns="http://schemas.openxmlformats.org/officeDocument/2006/extended-properties" xmlns:vt="http://schemas.openxmlformats.org/officeDocument/2006/docPropsVTypes">
  <Template>88A79244</Template>
  <TotalTime>1</TotalTime>
  <Pages>2</Pages>
  <Words>439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Wales Escalation and Intervention Arrangements</dc:title>
  <dc:creator>burnsc</dc:creator>
  <cp:lastModifiedBy>Oxenham, James (OFMCO - Cabinet Division)</cp:lastModifiedBy>
  <cp:revision>2</cp:revision>
  <cp:lastPrinted>2011-05-27T09:19:00Z</cp:lastPrinted>
  <dcterms:created xsi:type="dcterms:W3CDTF">2018-08-21T10:29:00Z</dcterms:created>
  <dcterms:modified xsi:type="dcterms:W3CDTF">2018-08-21T10:29:00Z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A23300149</vt:lpwstr>
  </property>
  <property fmtid="{D5CDD505-2E9C-101B-9397-08002B2CF9AE}" pid="4" name="Objective-Title">
    <vt:lpwstr>MA-P-VG-2929-18 - Doc 1 -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2018-08-10T11:49:47Z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2018-08-20T07:38:33Z</vt:filetime>
  </property>
  <property fmtid="{D5CDD505-2E9C-101B-9397-08002B2CF9AE}" pid="10" name="Objective-ModificationStamp">
    <vt:filetime>2018-08-20T07:38:33Z</vt:filetime>
  </property>
  <property fmtid="{D5CDD505-2E9C-101B-9397-08002B2CF9AE}" pid="11" name="Objective-Owner">
    <vt:lpwstr>Rees, Martyn (HSS - Delivery &amp; Performance)</vt:lpwstr>
  </property>
  <property fmtid="{D5CDD505-2E9C-101B-9397-08002B2CF9AE}" pid="12" name="Objective-Path">
    <vt:lpwstr>Objective Global Folder:Business File Plan:Health &amp; Social Services (HSS):Health &amp; Social Services (HSS) - D&amp;P - Delivery &amp; Performance:1 - Save:Planning:Ministerial Correspondence:2018:Vaughan Gething - Cabinet Secretary for Health &amp; Social Services - Mi</vt:lpwstr>
  </property>
  <property fmtid="{D5CDD505-2E9C-101B-9397-08002B2CF9AE}" pid="13" name="Objective-Parent">
    <vt:lpwstr>MA-P-VG-2929-18 - Written Satement on NHS Escalation Status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2018-08-09T23:00:00Z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  <property fmtid="{D5CDD505-2E9C-101B-9397-08002B2CF9AE}" pid="27" name="_docset_NoMedatataSyncRequired">
    <vt:lpwstr>False</vt:lpwstr>
  </property>
</Properties>
</file>