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18" w:rsidRDefault="00C44118" w:rsidP="00882567">
      <w:pPr>
        <w:pStyle w:val="Heading1"/>
        <w:rPr>
          <w:color w:val="FF000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9DAE7A5" wp14:editId="6DF576D7">
            <wp:simplePos x="0" y="0"/>
            <wp:positionH relativeFrom="column">
              <wp:posOffset>5005070</wp:posOffset>
            </wp:positionH>
            <wp:positionV relativeFrom="paragraph">
              <wp:posOffset>-534035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118" w:rsidRDefault="00C44118" w:rsidP="00882567">
      <w:pPr>
        <w:pStyle w:val="Heading1"/>
        <w:rPr>
          <w:color w:val="FF0000"/>
        </w:rPr>
      </w:pPr>
    </w:p>
    <w:p w:rsidR="00C44118" w:rsidRDefault="00C44118" w:rsidP="00882567">
      <w:pPr>
        <w:pStyle w:val="Heading1"/>
        <w:rPr>
          <w:color w:val="FF0000"/>
        </w:rPr>
      </w:pPr>
    </w:p>
    <w:p w:rsidR="00C44118" w:rsidRDefault="00C44118" w:rsidP="00882567">
      <w:pPr>
        <w:pStyle w:val="Heading1"/>
        <w:rPr>
          <w:color w:val="FF0000"/>
        </w:rPr>
      </w:pPr>
    </w:p>
    <w:p w:rsidR="00C44118" w:rsidRDefault="00C44118" w:rsidP="00882567">
      <w:pPr>
        <w:pStyle w:val="Heading1"/>
        <w:rPr>
          <w:color w:val="FF0000"/>
        </w:rPr>
      </w:pPr>
    </w:p>
    <w:p w:rsidR="00C44118" w:rsidRPr="00CE48F3" w:rsidRDefault="00C44118" w:rsidP="00882567">
      <w:pPr>
        <w:spacing w:after="0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AEBD42" wp14:editId="619F3BA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C44118" w:rsidRDefault="00C44118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C44118" w:rsidRDefault="00C44118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C44118" w:rsidRDefault="00C44118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C44118" w:rsidRDefault="00C44118" w:rsidP="00882567">
      <w:pPr>
        <w:pStyle w:val="Heading1"/>
        <w:rPr>
          <w:color w:val="FF0000"/>
        </w:rPr>
      </w:pPr>
    </w:p>
    <w:p w:rsidR="00C44118" w:rsidRDefault="00C44118" w:rsidP="0088256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D289B0" wp14:editId="0AF907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0795" r="1651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8IJka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080"/>
      </w:tblGrid>
      <w:tr w:rsidR="00C44118" w:rsidRPr="00B81F17" w:rsidTr="0059376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C44118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B81F17" w:rsidRDefault="00C44118" w:rsidP="0088256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Medical Services</w:t>
            </w:r>
            <w:r w:rsidR="005937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(GMS)</w:t>
            </w:r>
            <w:r w:rsidR="00A824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Contract Reform for 2018/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  <w:bookmarkEnd w:id="0"/>
          </w:p>
        </w:tc>
      </w:tr>
      <w:tr w:rsidR="00C44118" w:rsidRPr="00B81F17" w:rsidTr="0059376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C44118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B81F17" w:rsidRDefault="006F1C6B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C44118">
              <w:rPr>
                <w:rFonts w:ascii="Arial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C44118" w:rsidRPr="00B81F17" w:rsidTr="00C44118">
        <w:trPr>
          <w:trHeight w:val="72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C44118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C44118" w:rsidRDefault="00C44118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41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Pr="00C4411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"/>
              </w:rPr>
              <w:t>Cabinet Secretary for Health and Social Services</w:t>
            </w:r>
          </w:p>
        </w:tc>
      </w:tr>
    </w:tbl>
    <w:p w:rsidR="00C44118" w:rsidRDefault="00C44118" w:rsidP="00882567">
      <w:pPr>
        <w:spacing w:after="0"/>
      </w:pPr>
    </w:p>
    <w:p w:rsidR="00E63484" w:rsidRDefault="00E63484" w:rsidP="008825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marks the start of</w:t>
      </w:r>
      <w:r w:rsidRPr="002A76F4">
        <w:rPr>
          <w:rFonts w:ascii="Arial" w:hAnsi="Arial" w:cs="Arial"/>
          <w:sz w:val="24"/>
          <w:szCs w:val="24"/>
        </w:rPr>
        <w:t xml:space="preserve"> an ambitious programm</w:t>
      </w:r>
      <w:r>
        <w:rPr>
          <w:rFonts w:ascii="Arial" w:hAnsi="Arial" w:cs="Arial"/>
          <w:sz w:val="24"/>
          <w:szCs w:val="24"/>
        </w:rPr>
        <w:t xml:space="preserve">e of reform to the GMS contract. This has been marked by </w:t>
      </w:r>
      <w:r w:rsidRPr="002A76F4">
        <w:rPr>
          <w:rFonts w:ascii="Arial" w:hAnsi="Arial" w:cs="Arial"/>
          <w:sz w:val="24"/>
          <w:szCs w:val="24"/>
        </w:rPr>
        <w:t>a new approach managed through the GMS Contract Oversight Group</w:t>
      </w:r>
      <w:r>
        <w:rPr>
          <w:rFonts w:ascii="Arial" w:hAnsi="Arial" w:cs="Arial"/>
          <w:sz w:val="24"/>
          <w:szCs w:val="24"/>
        </w:rPr>
        <w:t xml:space="preserve"> and operated through a t</w:t>
      </w:r>
      <w:r w:rsidRPr="002A76F4">
        <w:rPr>
          <w:rFonts w:ascii="Arial" w:hAnsi="Arial" w:cs="Arial"/>
          <w:sz w:val="24"/>
          <w:szCs w:val="24"/>
        </w:rPr>
        <w:t>ripartite a</w:t>
      </w:r>
      <w:r>
        <w:rPr>
          <w:rFonts w:ascii="Arial" w:hAnsi="Arial" w:cs="Arial"/>
          <w:sz w:val="24"/>
          <w:szCs w:val="24"/>
        </w:rPr>
        <w:t>greement</w:t>
      </w:r>
      <w:r w:rsidR="00B957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representatives from Welsh Government, General Practitioners C</w:t>
      </w:r>
      <w:r w:rsidR="00D966F9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 xml:space="preserve"> (GPC)</w:t>
      </w:r>
      <w:r w:rsidRPr="002A76F4">
        <w:rPr>
          <w:rFonts w:ascii="Arial" w:hAnsi="Arial" w:cs="Arial"/>
          <w:sz w:val="24"/>
          <w:szCs w:val="24"/>
        </w:rPr>
        <w:t xml:space="preserve"> Wales and NHS Wales. The reform programme draws on the recommendations of the recent Parliamentary Review, and aligns with those important drivers in Taking Wales Forward and Prosperity for All. </w:t>
      </w:r>
    </w:p>
    <w:p w:rsidR="00882567" w:rsidRPr="00E63484" w:rsidRDefault="00882567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Default="00C44118" w:rsidP="00882567">
      <w:p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</w:rPr>
        <w:t xml:space="preserve">I am pleased to </w:t>
      </w:r>
      <w:r w:rsidR="005130F0" w:rsidRPr="002A76F4">
        <w:rPr>
          <w:rFonts w:ascii="Arial" w:hAnsi="Arial" w:cs="Arial"/>
          <w:sz w:val="24"/>
          <w:szCs w:val="24"/>
        </w:rPr>
        <w:t xml:space="preserve">announce </w:t>
      </w:r>
      <w:r w:rsidRPr="002A76F4">
        <w:rPr>
          <w:rFonts w:ascii="Arial" w:hAnsi="Arial" w:cs="Arial"/>
          <w:sz w:val="24"/>
          <w:szCs w:val="24"/>
        </w:rPr>
        <w:t xml:space="preserve">that </w:t>
      </w:r>
      <w:r w:rsidR="005130F0" w:rsidRPr="002A76F4">
        <w:rPr>
          <w:rFonts w:ascii="Arial" w:hAnsi="Arial" w:cs="Arial"/>
          <w:sz w:val="24"/>
          <w:szCs w:val="24"/>
        </w:rPr>
        <w:t xml:space="preserve">the </w:t>
      </w:r>
      <w:r w:rsidRPr="002A76F4">
        <w:rPr>
          <w:rFonts w:ascii="Arial" w:hAnsi="Arial" w:cs="Arial"/>
          <w:sz w:val="24"/>
          <w:szCs w:val="24"/>
        </w:rPr>
        <w:t>negotiations for the 2018/2019 Gener</w:t>
      </w:r>
      <w:r w:rsidR="0059376E">
        <w:rPr>
          <w:rFonts w:ascii="Arial" w:hAnsi="Arial" w:cs="Arial"/>
          <w:sz w:val="24"/>
          <w:szCs w:val="24"/>
        </w:rPr>
        <w:t>al Medical Services</w:t>
      </w:r>
      <w:r w:rsidRPr="002A76F4">
        <w:rPr>
          <w:rFonts w:ascii="Arial" w:hAnsi="Arial" w:cs="Arial"/>
          <w:sz w:val="24"/>
          <w:szCs w:val="24"/>
        </w:rPr>
        <w:t xml:space="preserve"> (GMS) </w:t>
      </w:r>
      <w:r w:rsidR="005130F0" w:rsidRPr="002A76F4">
        <w:rPr>
          <w:rFonts w:ascii="Arial" w:hAnsi="Arial" w:cs="Arial"/>
          <w:sz w:val="24"/>
          <w:szCs w:val="24"/>
        </w:rPr>
        <w:t>contract were concluded by the end of February</w:t>
      </w:r>
      <w:r w:rsidR="002A76F4">
        <w:rPr>
          <w:rFonts w:ascii="Arial" w:hAnsi="Arial" w:cs="Arial"/>
          <w:sz w:val="24"/>
          <w:szCs w:val="24"/>
        </w:rPr>
        <w:t xml:space="preserve"> 2018</w:t>
      </w:r>
      <w:r w:rsidR="005130F0" w:rsidRPr="002A76F4">
        <w:rPr>
          <w:rFonts w:ascii="Arial" w:hAnsi="Arial" w:cs="Arial"/>
          <w:sz w:val="24"/>
          <w:szCs w:val="24"/>
        </w:rPr>
        <w:t xml:space="preserve">. </w:t>
      </w:r>
      <w:r w:rsidR="00E63484">
        <w:rPr>
          <w:rFonts w:ascii="Arial" w:hAnsi="Arial" w:cs="Arial"/>
          <w:sz w:val="24"/>
          <w:szCs w:val="24"/>
        </w:rPr>
        <w:t>T</w:t>
      </w:r>
      <w:r w:rsidR="000D0A03" w:rsidRPr="002A76F4">
        <w:rPr>
          <w:rFonts w:ascii="Arial" w:hAnsi="Arial" w:cs="Arial"/>
          <w:sz w:val="24"/>
          <w:szCs w:val="24"/>
        </w:rPr>
        <w:t>he fo</w:t>
      </w:r>
      <w:r w:rsidR="0059376E">
        <w:rPr>
          <w:rFonts w:ascii="Arial" w:hAnsi="Arial" w:cs="Arial"/>
          <w:sz w:val="24"/>
          <w:szCs w:val="24"/>
        </w:rPr>
        <w:t xml:space="preserve">llowing agreements </w:t>
      </w:r>
      <w:r w:rsidR="00E63484">
        <w:rPr>
          <w:rFonts w:ascii="Arial" w:hAnsi="Arial" w:cs="Arial"/>
          <w:sz w:val="24"/>
          <w:szCs w:val="24"/>
        </w:rPr>
        <w:t xml:space="preserve">have been reached </w:t>
      </w:r>
      <w:r w:rsidR="0059376E">
        <w:rPr>
          <w:rFonts w:ascii="Arial" w:hAnsi="Arial" w:cs="Arial"/>
          <w:sz w:val="24"/>
          <w:szCs w:val="24"/>
        </w:rPr>
        <w:t>for the 2018/</w:t>
      </w:r>
      <w:r w:rsidR="000D0A03" w:rsidRPr="002A76F4">
        <w:rPr>
          <w:rFonts w:ascii="Arial" w:hAnsi="Arial" w:cs="Arial"/>
          <w:sz w:val="24"/>
          <w:szCs w:val="24"/>
        </w:rPr>
        <w:t xml:space="preserve">2019 contracting year: </w:t>
      </w:r>
    </w:p>
    <w:p w:rsidR="00882567" w:rsidRPr="002A76F4" w:rsidRDefault="00882567" w:rsidP="00882567">
      <w:pPr>
        <w:spacing w:after="0"/>
        <w:rPr>
          <w:rFonts w:ascii="Arial" w:hAnsi="Arial" w:cs="Arial"/>
          <w:sz w:val="24"/>
          <w:szCs w:val="24"/>
        </w:rPr>
      </w:pPr>
    </w:p>
    <w:p w:rsidR="000D0A03" w:rsidRPr="002A76F4" w:rsidRDefault="000D0A03" w:rsidP="008825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2A76F4">
        <w:rPr>
          <w:rFonts w:ascii="Arial" w:hAnsi="Arial" w:cs="Arial"/>
          <w:sz w:val="24"/>
          <w:szCs w:val="24"/>
        </w:rPr>
        <w:t>An uplift of 1% for pay and a 1.4% increase for general expenses (</w:t>
      </w:r>
      <w:r w:rsidRPr="002A76F4">
        <w:rPr>
          <w:rFonts w:ascii="Arial" w:hAnsi="Arial" w:cs="Arial"/>
          <w:sz w:val="24"/>
          <w:szCs w:val="24"/>
          <w:lang w:val="en-US"/>
        </w:rPr>
        <w:t xml:space="preserve">excluding indemnity, which is being treated separately). The increase will be applied to global sum and the enhanced service for vaccinations and immunisations. </w:t>
      </w:r>
    </w:p>
    <w:p w:rsidR="000D0A03" w:rsidRDefault="000D0A03" w:rsidP="008825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2A76F4">
        <w:rPr>
          <w:rFonts w:ascii="Arial" w:hAnsi="Arial" w:cs="Arial"/>
          <w:sz w:val="24"/>
          <w:szCs w:val="24"/>
        </w:rPr>
        <w:t>An uplift</w:t>
      </w:r>
      <w:proofErr w:type="gramEnd"/>
      <w:r w:rsidRPr="002A76F4">
        <w:rPr>
          <w:rFonts w:ascii="Arial" w:hAnsi="Arial" w:cs="Arial"/>
          <w:sz w:val="24"/>
          <w:szCs w:val="24"/>
        </w:rPr>
        <w:t xml:space="preserve"> </w:t>
      </w:r>
      <w:r w:rsidR="0059376E">
        <w:rPr>
          <w:rFonts w:ascii="Arial" w:hAnsi="Arial" w:cs="Arial"/>
          <w:sz w:val="24"/>
          <w:szCs w:val="24"/>
        </w:rPr>
        <w:t>for</w:t>
      </w:r>
      <w:r w:rsidRPr="002A76F4">
        <w:rPr>
          <w:rFonts w:ascii="Arial" w:hAnsi="Arial" w:cs="Arial"/>
          <w:sz w:val="24"/>
          <w:szCs w:val="24"/>
        </w:rPr>
        <w:t xml:space="preserve"> </w:t>
      </w:r>
      <w:r w:rsidR="0059376E">
        <w:rPr>
          <w:rFonts w:ascii="Arial" w:hAnsi="Arial" w:cs="Arial"/>
          <w:sz w:val="24"/>
          <w:szCs w:val="24"/>
        </w:rPr>
        <w:t>professional i</w:t>
      </w:r>
      <w:r w:rsidRPr="002A76F4">
        <w:rPr>
          <w:rFonts w:ascii="Arial" w:hAnsi="Arial" w:cs="Arial"/>
          <w:sz w:val="24"/>
          <w:szCs w:val="24"/>
        </w:rPr>
        <w:t>ndemnity</w:t>
      </w:r>
      <w:r w:rsidR="0059376E">
        <w:rPr>
          <w:rFonts w:ascii="Arial" w:hAnsi="Arial" w:cs="Arial"/>
          <w:sz w:val="24"/>
          <w:szCs w:val="24"/>
        </w:rPr>
        <w:t>, recognising the specific rises being seen in the indemnity mar</w:t>
      </w:r>
      <w:r w:rsidR="00E63484">
        <w:rPr>
          <w:rFonts w:ascii="Arial" w:hAnsi="Arial" w:cs="Arial"/>
          <w:sz w:val="24"/>
          <w:szCs w:val="24"/>
        </w:rPr>
        <w:t>ket as a result of the change in</w:t>
      </w:r>
      <w:r w:rsidR="0059376E">
        <w:rPr>
          <w:rFonts w:ascii="Arial" w:hAnsi="Arial" w:cs="Arial"/>
          <w:sz w:val="24"/>
          <w:szCs w:val="24"/>
        </w:rPr>
        <w:t xml:space="preserve"> discount rates announced by the Lord Chancellor. </w:t>
      </w:r>
    </w:p>
    <w:p w:rsidR="00882567" w:rsidRDefault="00882567" w:rsidP="00F91B0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63484" w:rsidRDefault="00E63484" w:rsidP="008825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Coupled with the financial changes, the</w:t>
      </w:r>
      <w:r w:rsidRPr="002A76F4">
        <w:rPr>
          <w:rFonts w:ascii="Arial" w:hAnsi="Arial" w:cs="Arial"/>
          <w:sz w:val="24"/>
          <w:szCs w:val="24"/>
        </w:rPr>
        <w:t xml:space="preserve"> following activities have</w:t>
      </w:r>
      <w:r>
        <w:rPr>
          <w:rFonts w:ascii="Arial" w:hAnsi="Arial" w:cs="Arial"/>
          <w:sz w:val="24"/>
          <w:szCs w:val="24"/>
        </w:rPr>
        <w:t xml:space="preserve"> also</w:t>
      </w:r>
      <w:r w:rsidRPr="002A76F4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agreed to improve the provision of</w:t>
      </w:r>
      <w:r w:rsidRPr="002A76F4">
        <w:rPr>
          <w:rFonts w:ascii="Arial" w:hAnsi="Arial" w:cs="Arial"/>
          <w:sz w:val="24"/>
          <w:szCs w:val="24"/>
        </w:rPr>
        <w:t xml:space="preserve"> General Medical Services for 2018/2019: </w:t>
      </w:r>
    </w:p>
    <w:p w:rsidR="00882567" w:rsidRPr="002A76F4" w:rsidRDefault="00882567" w:rsidP="00882567">
      <w:pPr>
        <w:spacing w:after="0"/>
        <w:rPr>
          <w:rFonts w:ascii="Arial" w:hAnsi="Arial" w:cs="Arial"/>
          <w:sz w:val="24"/>
          <w:szCs w:val="24"/>
        </w:rPr>
      </w:pP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</w:rPr>
        <w:t>Improved baseline</w:t>
      </w:r>
      <w:r>
        <w:rPr>
          <w:rFonts w:ascii="Arial" w:hAnsi="Arial" w:cs="Arial"/>
          <w:sz w:val="24"/>
          <w:szCs w:val="24"/>
        </w:rPr>
        <w:t xml:space="preserve"> provision of Welsh Language;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of R</w:t>
      </w:r>
      <w:r w:rsidRPr="002A76F4">
        <w:rPr>
          <w:rFonts w:ascii="Arial" w:hAnsi="Arial" w:cs="Arial"/>
          <w:sz w:val="24"/>
          <w:szCs w:val="24"/>
        </w:rPr>
        <w:t>etainer</w:t>
      </w:r>
      <w:r>
        <w:rPr>
          <w:rFonts w:ascii="Arial" w:hAnsi="Arial" w:cs="Arial"/>
          <w:sz w:val="24"/>
          <w:szCs w:val="24"/>
        </w:rPr>
        <w:t xml:space="preserve"> and Returner schemes;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76F4">
        <w:rPr>
          <w:rFonts w:ascii="Arial" w:hAnsi="Arial" w:cs="Arial"/>
          <w:sz w:val="24"/>
          <w:szCs w:val="24"/>
        </w:rPr>
        <w:t>Improved mento</w:t>
      </w:r>
      <w:r>
        <w:rPr>
          <w:rFonts w:ascii="Arial" w:hAnsi="Arial" w:cs="Arial"/>
          <w:sz w:val="24"/>
          <w:szCs w:val="24"/>
        </w:rPr>
        <w:t>ring  and coaching arrangements for GPs;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recruitment o</w:t>
      </w:r>
      <w:r w:rsidRPr="002A76F4">
        <w:rPr>
          <w:rFonts w:ascii="Arial" w:hAnsi="Arial" w:cs="Arial"/>
          <w:sz w:val="24"/>
          <w:szCs w:val="24"/>
        </w:rPr>
        <w:t>ffering</w:t>
      </w:r>
      <w:r>
        <w:rPr>
          <w:rFonts w:ascii="Arial" w:hAnsi="Arial" w:cs="Arial"/>
          <w:sz w:val="24"/>
          <w:szCs w:val="24"/>
        </w:rPr>
        <w:t xml:space="preserve"> to GPs;</w:t>
      </w:r>
      <w:r w:rsidRPr="002A76F4">
        <w:rPr>
          <w:rFonts w:ascii="Arial" w:hAnsi="Arial" w:cs="Arial"/>
          <w:sz w:val="24"/>
          <w:szCs w:val="24"/>
        </w:rPr>
        <w:t xml:space="preserve"> 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</w:rPr>
        <w:lastRenderedPageBreak/>
        <w:t>Workload and system change</w:t>
      </w:r>
      <w:r>
        <w:rPr>
          <w:rFonts w:ascii="Arial" w:hAnsi="Arial" w:cs="Arial"/>
          <w:sz w:val="24"/>
          <w:szCs w:val="24"/>
        </w:rPr>
        <w:t>, improving the interface between primary and secondary care;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direction on improved access to and from services;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Exploring removal of i</w:t>
      </w:r>
      <w:r w:rsidRPr="002A76F4">
        <w:rPr>
          <w:rFonts w:ascii="Arial" w:hAnsi="Arial" w:cs="Arial"/>
          <w:sz w:val="24"/>
          <w:szCs w:val="24"/>
        </w:rPr>
        <w:t>ndemnity b</w:t>
      </w:r>
      <w:r>
        <w:rPr>
          <w:rFonts w:ascii="Arial" w:hAnsi="Arial" w:cs="Arial"/>
          <w:sz w:val="24"/>
          <w:szCs w:val="24"/>
        </w:rPr>
        <w:t>arrier for recently retired GPs;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</w:rPr>
        <w:t>Reduced Quali</w:t>
      </w:r>
      <w:r>
        <w:rPr>
          <w:rFonts w:ascii="Arial" w:hAnsi="Arial" w:cs="Arial"/>
          <w:sz w:val="24"/>
          <w:szCs w:val="24"/>
        </w:rPr>
        <w:t>ty and Outcomes Framework (QOF) to alleviate workload pressures;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 of i</w:t>
      </w:r>
      <w:r w:rsidRPr="002A76F4">
        <w:rPr>
          <w:rFonts w:ascii="Arial" w:hAnsi="Arial" w:cs="Arial"/>
          <w:sz w:val="24"/>
          <w:szCs w:val="24"/>
        </w:rPr>
        <w:t>nfluenza outbreak prescribin</w:t>
      </w:r>
      <w:r>
        <w:rPr>
          <w:rFonts w:ascii="Arial" w:hAnsi="Arial" w:cs="Arial"/>
          <w:sz w:val="24"/>
          <w:szCs w:val="24"/>
        </w:rPr>
        <w:t>g Direct Enhanced Service (DES);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monitor impact of IT migration; and</w:t>
      </w:r>
    </w:p>
    <w:p w:rsidR="00E63484" w:rsidRPr="002A76F4" w:rsidRDefault="00E63484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consider General Data Protection Regulation (GDPR) a</w:t>
      </w:r>
      <w:r w:rsidR="00200F75">
        <w:rPr>
          <w:rFonts w:ascii="Arial" w:hAnsi="Arial" w:cs="Arial"/>
          <w:sz w:val="24"/>
          <w:szCs w:val="24"/>
        </w:rPr>
        <w:t>longside improved access to data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3484" w:rsidRPr="00E63484" w:rsidRDefault="00E63484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Pr="002A76F4" w:rsidRDefault="005B5C58" w:rsidP="00882567">
      <w:p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</w:rPr>
        <w:t xml:space="preserve">I would like to take this opportunity to thank all colleagues </w:t>
      </w:r>
      <w:r w:rsidR="00E63484">
        <w:rPr>
          <w:rFonts w:ascii="Arial" w:hAnsi="Arial" w:cs="Arial"/>
          <w:sz w:val="24"/>
          <w:szCs w:val="24"/>
        </w:rPr>
        <w:t>in NHS Wales</w:t>
      </w:r>
      <w:r w:rsidRPr="002A76F4">
        <w:rPr>
          <w:rFonts w:ascii="Arial" w:hAnsi="Arial" w:cs="Arial"/>
          <w:sz w:val="24"/>
          <w:szCs w:val="24"/>
        </w:rPr>
        <w:t xml:space="preserve"> and GPC Wales for their ongoing engagement and commitment to </w:t>
      </w:r>
      <w:r w:rsidR="00E63484">
        <w:rPr>
          <w:rFonts w:ascii="Arial" w:hAnsi="Arial" w:cs="Arial"/>
          <w:sz w:val="24"/>
          <w:szCs w:val="24"/>
        </w:rPr>
        <w:t>this programme of reform.</w:t>
      </w:r>
      <w:r w:rsidRPr="002A76F4">
        <w:rPr>
          <w:rFonts w:ascii="Arial" w:hAnsi="Arial" w:cs="Arial"/>
          <w:sz w:val="24"/>
          <w:szCs w:val="24"/>
        </w:rPr>
        <w:t xml:space="preserve"> </w:t>
      </w:r>
      <w:r w:rsidR="00913F0F" w:rsidRPr="002A76F4">
        <w:rPr>
          <w:rFonts w:ascii="Arial" w:hAnsi="Arial" w:cs="Arial"/>
          <w:sz w:val="24"/>
          <w:szCs w:val="24"/>
        </w:rPr>
        <w:t>While progress has been made with a number of items</w:t>
      </w:r>
      <w:r w:rsidR="002A76F4">
        <w:rPr>
          <w:rFonts w:ascii="Arial" w:hAnsi="Arial" w:cs="Arial"/>
          <w:sz w:val="24"/>
          <w:szCs w:val="24"/>
        </w:rPr>
        <w:t>,</w:t>
      </w:r>
      <w:r w:rsidR="00913F0F" w:rsidRPr="002A76F4">
        <w:rPr>
          <w:rFonts w:ascii="Arial" w:hAnsi="Arial" w:cs="Arial"/>
          <w:sz w:val="24"/>
          <w:szCs w:val="24"/>
        </w:rPr>
        <w:t xml:space="preserve"> there is still a substantive body of work to undertake for the forthcoming year. </w:t>
      </w:r>
      <w:r w:rsidR="000D0A03" w:rsidRPr="002A76F4">
        <w:rPr>
          <w:rFonts w:ascii="Arial" w:hAnsi="Arial" w:cs="Arial"/>
          <w:sz w:val="24"/>
          <w:szCs w:val="24"/>
        </w:rPr>
        <w:t xml:space="preserve">Nevertheless, this </w:t>
      </w:r>
      <w:r w:rsidR="00E63484">
        <w:rPr>
          <w:rFonts w:ascii="Arial" w:hAnsi="Arial" w:cs="Arial"/>
          <w:sz w:val="24"/>
          <w:szCs w:val="24"/>
        </w:rPr>
        <w:t xml:space="preserve">new approach provides us with the platform to reform the existing contract, tackle issues within the system and take forward those </w:t>
      </w:r>
      <w:r w:rsidR="008E44D2">
        <w:rPr>
          <w:rFonts w:ascii="Arial" w:hAnsi="Arial" w:cs="Arial"/>
          <w:sz w:val="24"/>
          <w:szCs w:val="24"/>
        </w:rPr>
        <w:t>commitments</w:t>
      </w:r>
      <w:r w:rsidR="00E63484">
        <w:rPr>
          <w:rFonts w:ascii="Arial" w:hAnsi="Arial" w:cs="Arial"/>
          <w:sz w:val="24"/>
          <w:szCs w:val="24"/>
        </w:rPr>
        <w:t xml:space="preserve"> that this Government has </w:t>
      </w:r>
      <w:r w:rsidR="008E44D2">
        <w:rPr>
          <w:rFonts w:ascii="Arial" w:hAnsi="Arial" w:cs="Arial"/>
          <w:sz w:val="24"/>
          <w:szCs w:val="24"/>
        </w:rPr>
        <w:t>set out i</w:t>
      </w:r>
      <w:r w:rsidR="00E63484">
        <w:rPr>
          <w:rFonts w:ascii="Arial" w:hAnsi="Arial" w:cs="Arial"/>
          <w:sz w:val="24"/>
          <w:szCs w:val="24"/>
        </w:rPr>
        <w:t>n Taking Wales Forward and Prosperity for All.</w:t>
      </w:r>
    </w:p>
    <w:p w:rsidR="000D0A03" w:rsidRPr="002A76F4" w:rsidRDefault="000D0A03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Default="005B5C58" w:rsidP="00882567">
      <w:pPr>
        <w:spacing w:after="0"/>
      </w:pPr>
    </w:p>
    <w:sectPr w:rsidR="005B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6E" w:rsidRDefault="0059376E" w:rsidP="00C44118">
      <w:pPr>
        <w:spacing w:after="0" w:line="240" w:lineRule="auto"/>
      </w:pPr>
      <w:r>
        <w:separator/>
      </w:r>
    </w:p>
  </w:endnote>
  <w:endnote w:type="continuationSeparator" w:id="0">
    <w:p w:rsidR="0059376E" w:rsidRDefault="0059376E" w:rsidP="00C4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6E" w:rsidRDefault="0059376E" w:rsidP="00C44118">
      <w:pPr>
        <w:spacing w:after="0" w:line="240" w:lineRule="auto"/>
      </w:pPr>
      <w:r>
        <w:separator/>
      </w:r>
    </w:p>
  </w:footnote>
  <w:footnote w:type="continuationSeparator" w:id="0">
    <w:p w:rsidR="0059376E" w:rsidRDefault="0059376E" w:rsidP="00C4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50D"/>
    <w:multiLevelType w:val="hybridMultilevel"/>
    <w:tmpl w:val="374EF48A"/>
    <w:lvl w:ilvl="0" w:tplc="87DEB0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EAD"/>
    <w:multiLevelType w:val="hybridMultilevel"/>
    <w:tmpl w:val="35A0C102"/>
    <w:lvl w:ilvl="0" w:tplc="3D6AA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724B"/>
    <w:multiLevelType w:val="hybridMultilevel"/>
    <w:tmpl w:val="D794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C0508"/>
    <w:multiLevelType w:val="hybridMultilevel"/>
    <w:tmpl w:val="DE88C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8"/>
    <w:rsid w:val="000D0A03"/>
    <w:rsid w:val="001B719D"/>
    <w:rsid w:val="00200F75"/>
    <w:rsid w:val="0021553D"/>
    <w:rsid w:val="002A76F4"/>
    <w:rsid w:val="00462C15"/>
    <w:rsid w:val="005130F0"/>
    <w:rsid w:val="0059376E"/>
    <w:rsid w:val="005B5C58"/>
    <w:rsid w:val="006F1C6B"/>
    <w:rsid w:val="00882567"/>
    <w:rsid w:val="008E44D2"/>
    <w:rsid w:val="00913F0F"/>
    <w:rsid w:val="00A82481"/>
    <w:rsid w:val="00B95706"/>
    <w:rsid w:val="00C44118"/>
    <w:rsid w:val="00D22D7A"/>
    <w:rsid w:val="00D45E4F"/>
    <w:rsid w:val="00D966F9"/>
    <w:rsid w:val="00E63484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411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1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18"/>
  </w:style>
  <w:style w:type="paragraph" w:styleId="Footer">
    <w:name w:val="footer"/>
    <w:basedOn w:val="Normal"/>
    <w:link w:val="Foot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18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5130F0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0D0A03"/>
  </w:style>
  <w:style w:type="character" w:styleId="CommentReference">
    <w:name w:val="annotation reference"/>
    <w:basedOn w:val="DefaultParagraphFont"/>
    <w:uiPriority w:val="99"/>
    <w:semiHidden/>
    <w:unhideWhenUsed/>
    <w:rsid w:val="00B9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411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1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18"/>
  </w:style>
  <w:style w:type="paragraph" w:styleId="Footer">
    <w:name w:val="footer"/>
    <w:basedOn w:val="Normal"/>
    <w:link w:val="Foot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18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5130F0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0D0A03"/>
  </w:style>
  <w:style w:type="character" w:styleId="CommentReference">
    <w:name w:val="annotation reference"/>
    <w:basedOn w:val="DefaultParagraphFont"/>
    <w:uiPriority w:val="99"/>
    <w:semiHidden/>
    <w:unhideWhenUsed/>
    <w:rsid w:val="00B9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59D61EF-CEC5-4E5F-82EF-1DC1CB51E1F3}"/>
</file>

<file path=customXml/itemProps2.xml><?xml version="1.0" encoding="utf-8"?>
<ds:datastoreItem xmlns:ds="http://schemas.openxmlformats.org/officeDocument/2006/customXml" ds:itemID="{C1F1840F-91EC-4ABC-B4DE-9E842ABADA80}"/>
</file>

<file path=customXml/itemProps3.xml><?xml version="1.0" encoding="utf-8"?>
<ds:datastoreItem xmlns:ds="http://schemas.openxmlformats.org/officeDocument/2006/customXml" ds:itemID="{5FAF49A3-9433-44AE-B1FA-B77FBEDE161D}"/>
</file>

<file path=docProps/app.xml><?xml version="1.0" encoding="utf-8"?>
<Properties xmlns="http://schemas.openxmlformats.org/officeDocument/2006/extended-properties" xmlns:vt="http://schemas.openxmlformats.org/officeDocument/2006/docPropsVTypes">
  <Template>E4434911.dotm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Medical Services (GMS) Contract Reform for 2018/2019 </dc:title>
  <dc:creator>Wilson, Elena (HSS-Primary Care)</dc:creator>
  <cp:lastModifiedBy>Oxenham, James (OFMCO - Cabinet Division)</cp:lastModifiedBy>
  <cp:revision>2</cp:revision>
  <dcterms:created xsi:type="dcterms:W3CDTF">2018-03-19T09:24:00Z</dcterms:created>
  <dcterms:modified xsi:type="dcterms:W3CDTF">2018-03-19T09:24:00Z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A21630252</vt:lpwstr>
  </property>
  <property fmtid="{D5CDD505-2E9C-101B-9397-08002B2CF9AE}" pid="4" name="Objective-Title">
    <vt:lpwstr>MA-P-VG-0859-18 - ANNEX A - GMS Contract Written Statement (English version)</vt:lpwstr>
  </property>
  <property fmtid="{D5CDD505-2E9C-101B-9397-08002B2CF9AE}" pid="5" name="Objective-Comment">
    <vt:lpwstr/>
  </property>
  <property fmtid="{D5CDD505-2E9C-101B-9397-08002B2CF9AE}" pid="6" name="Objective-CreationStamp">
    <vt:filetime>2018-03-05T14:44:02Z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2018-03-15T14:40:04Z</vt:filetime>
  </property>
  <property fmtid="{D5CDD505-2E9C-101B-9397-08002B2CF9AE}" pid="10" name="Objective-ModificationStamp">
    <vt:filetime>2018-03-15T14:40:04Z</vt:filetime>
  </property>
  <property fmtid="{D5CDD505-2E9C-101B-9397-08002B2CF9AE}" pid="11" name="Objective-Owner">
    <vt:lpwstr>Wilson, Elena (HSS-Primary Care)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Services:Policy Folders:GMS Contract Negotiations:General Medical Services Contract Oversight Group - Ag</vt:lpwstr>
  </property>
  <property fmtid="{D5CDD505-2E9C-101B-9397-08002B2CF9AE}" pid="13" name="Objective-Parent">
    <vt:lpwstr>Negotiations GMS Contract 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