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0CD" w:rsidRPr="00A52A00" w:rsidRDefault="00CB60CD" w:rsidP="00CB60CD">
      <w:pPr>
        <w:ind w:left="6480"/>
        <w:rPr>
          <w:color w:val="FF0000"/>
          <w:sz w:val="20"/>
          <w:szCs w:val="20"/>
          <w:lang w:val="cy-GB"/>
        </w:rPr>
      </w:pPr>
    </w:p>
    <w:p w:rsidR="00CB60CD" w:rsidRPr="00A52A00" w:rsidRDefault="00097B6D" w:rsidP="00CB60CD">
      <w:pPr>
        <w:ind w:left="6480"/>
        <w:rPr>
          <w:color w:val="FF0000"/>
          <w:lang w:val="cy-GB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4239260</wp:posOffset>
            </wp:positionH>
            <wp:positionV relativeFrom="paragraph">
              <wp:posOffset>-715010</wp:posOffset>
            </wp:positionV>
            <wp:extent cx="1476375" cy="14001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60CD" w:rsidRPr="00A52A00" w:rsidRDefault="00CB60CD" w:rsidP="00CB60CD">
      <w:pPr>
        <w:rPr>
          <w:color w:val="FF0000"/>
          <w:lang w:val="cy-GB"/>
        </w:rPr>
      </w:pPr>
    </w:p>
    <w:p w:rsidR="00CB60CD" w:rsidRPr="00A52A00" w:rsidRDefault="00CB60CD" w:rsidP="00CB60CD">
      <w:pPr>
        <w:rPr>
          <w:color w:val="FF0000"/>
          <w:lang w:val="cy-GB"/>
        </w:rPr>
      </w:pPr>
    </w:p>
    <w:p w:rsidR="00CB60CD" w:rsidRPr="00A52A00" w:rsidRDefault="00CB60CD" w:rsidP="00CB60CD">
      <w:pPr>
        <w:jc w:val="right"/>
        <w:rPr>
          <w:b/>
          <w:bCs/>
          <w:color w:val="FF0000"/>
          <w:sz w:val="20"/>
          <w:szCs w:val="20"/>
          <w:lang w:val="cy-GB"/>
        </w:rPr>
      </w:pPr>
    </w:p>
    <w:p w:rsidR="00793DDB" w:rsidRPr="00A52A00" w:rsidRDefault="00793DDB" w:rsidP="00CB60CD">
      <w:pPr>
        <w:pStyle w:val="Heading1"/>
        <w:rPr>
          <w:color w:val="FF0000"/>
          <w:lang w:val="cy-GB"/>
        </w:rPr>
      </w:pPr>
    </w:p>
    <w:p w:rsidR="00793DDB" w:rsidRPr="00A52A00" w:rsidRDefault="00793DDB" w:rsidP="00CB60CD">
      <w:pPr>
        <w:pStyle w:val="Heading1"/>
        <w:rPr>
          <w:color w:val="FF0000"/>
          <w:lang w:val="cy-GB"/>
        </w:rPr>
      </w:pPr>
    </w:p>
    <w:tbl>
      <w:tblPr>
        <w:tblW w:w="0" w:type="auto"/>
        <w:tblBorders>
          <w:top w:val="single" w:sz="18" w:space="0" w:color="FF0000"/>
          <w:bottom w:val="single" w:sz="18" w:space="0" w:color="FF0000"/>
        </w:tblBorders>
        <w:tblLook w:val="04A0" w:firstRow="1" w:lastRow="0" w:firstColumn="1" w:lastColumn="0" w:noHBand="0" w:noVBand="1"/>
      </w:tblPr>
      <w:tblGrid>
        <w:gridCol w:w="9286"/>
      </w:tblGrid>
      <w:tr w:rsidR="004618AB" w:rsidRPr="00A52A00" w:rsidTr="00D21927">
        <w:tc>
          <w:tcPr>
            <w:tcW w:w="9572" w:type="dxa"/>
            <w:tcBorders>
              <w:top w:val="single" w:sz="18" w:space="0" w:color="FF0000"/>
              <w:bottom w:val="single" w:sz="18" w:space="0" w:color="FF0000"/>
            </w:tcBorders>
          </w:tcPr>
          <w:p w:rsidR="001E26E9" w:rsidRPr="00A52A00" w:rsidRDefault="001E26E9" w:rsidP="00D21927">
            <w:pPr>
              <w:pStyle w:val="Heading1"/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  <w:lang w:val="cy-GB"/>
              </w:rPr>
            </w:pPr>
          </w:p>
          <w:p w:rsidR="00A52A00" w:rsidRDefault="00A53F42" w:rsidP="00D21927">
            <w:pPr>
              <w:pStyle w:val="Heading1"/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  <w:lang w:val="cy-GB"/>
              </w:rPr>
            </w:pPr>
            <w:r>
              <w:rPr>
                <w:rFonts w:ascii="Times New Roman" w:hAnsi="Times New Roman" w:cs="Times New Roman"/>
                <w:color w:val="FF0000"/>
                <w:sz w:val="40"/>
                <w:szCs w:val="40"/>
                <w:lang w:val="cy-GB"/>
              </w:rPr>
              <w:t>WRITTEN STATEMENT</w:t>
            </w:r>
          </w:p>
          <w:p w:rsidR="004618AB" w:rsidRPr="00A52A00" w:rsidRDefault="00A53F42" w:rsidP="00D21927">
            <w:pPr>
              <w:pStyle w:val="Heading1"/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  <w:lang w:val="cy-GB"/>
              </w:rPr>
            </w:pPr>
            <w:r>
              <w:rPr>
                <w:rFonts w:ascii="Times New Roman" w:hAnsi="Times New Roman" w:cs="Times New Roman"/>
                <w:color w:val="FF0000"/>
                <w:sz w:val="40"/>
                <w:szCs w:val="40"/>
                <w:lang w:val="cy-GB"/>
              </w:rPr>
              <w:t>BY</w:t>
            </w:r>
          </w:p>
          <w:p w:rsidR="004618AB" w:rsidRPr="00A52A00" w:rsidRDefault="00A53F42" w:rsidP="00D21927">
            <w:pPr>
              <w:pStyle w:val="Heading1"/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  <w:lang w:val="cy-GB"/>
              </w:rPr>
            </w:pPr>
            <w:r>
              <w:rPr>
                <w:rFonts w:ascii="Times New Roman" w:hAnsi="Times New Roman" w:cs="Times New Roman"/>
                <w:color w:val="FF0000"/>
                <w:sz w:val="40"/>
                <w:szCs w:val="40"/>
                <w:lang w:val="cy-GB"/>
              </w:rPr>
              <w:t>THE WELSH</w:t>
            </w:r>
            <w:r w:rsidRPr="00A53F42">
              <w:rPr>
                <w:rFonts w:ascii="Times New Roman" w:hAnsi="Times New Roman" w:cs="Times New Roman"/>
                <w:color w:val="FF0000"/>
                <w:sz w:val="40"/>
                <w:szCs w:val="40"/>
                <w:lang w:val="cy-GB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40"/>
                <w:szCs w:val="40"/>
                <w:lang w:val="cy-GB"/>
              </w:rPr>
              <w:t>GOVERNMENT</w:t>
            </w:r>
          </w:p>
          <w:p w:rsidR="004618AB" w:rsidRPr="00A52A00" w:rsidRDefault="004618AB" w:rsidP="00D21927">
            <w:pPr>
              <w:autoSpaceDE w:val="0"/>
              <w:autoSpaceDN w:val="0"/>
              <w:jc w:val="center"/>
              <w:rPr>
                <w:color w:val="FF0000"/>
                <w:sz w:val="40"/>
                <w:szCs w:val="40"/>
                <w:lang w:val="cy-GB"/>
              </w:rPr>
            </w:pPr>
          </w:p>
        </w:tc>
      </w:tr>
    </w:tbl>
    <w:p w:rsidR="004618AB" w:rsidRPr="00A52A00" w:rsidRDefault="004618AB" w:rsidP="004618AB">
      <w:pPr>
        <w:rPr>
          <w:color w:val="FF0000"/>
          <w:lang w:val="cy-GB"/>
        </w:rPr>
      </w:pPr>
    </w:p>
    <w:p w:rsidR="00CB60CD" w:rsidRPr="00A52A00" w:rsidRDefault="00CB60CD" w:rsidP="00CB60CD">
      <w:pPr>
        <w:rPr>
          <w:b/>
          <w:bCs/>
          <w:color w:val="FF0000"/>
          <w:u w:val="single"/>
          <w:lang w:val="cy-GB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7881"/>
      </w:tblGrid>
      <w:tr w:rsidR="00CB60CD" w:rsidRPr="00A52A00" w:rsidTr="002267B5">
        <w:tc>
          <w:tcPr>
            <w:tcW w:w="1418" w:type="dxa"/>
            <w:vAlign w:val="center"/>
          </w:tcPr>
          <w:p w:rsidR="00CB60CD" w:rsidRPr="00A53F42" w:rsidRDefault="00A53F42" w:rsidP="00E8713D">
            <w:pPr>
              <w:autoSpaceDE w:val="0"/>
              <w:autoSpaceDN w:val="0"/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3F42">
              <w:rPr>
                <w:rFonts w:ascii="Arial" w:hAnsi="Arial" w:cs="Arial"/>
                <w:b/>
                <w:bCs/>
                <w:sz w:val="28"/>
                <w:szCs w:val="28"/>
              </w:rPr>
              <w:t>Title</w:t>
            </w:r>
          </w:p>
        </w:tc>
        <w:tc>
          <w:tcPr>
            <w:tcW w:w="7881" w:type="dxa"/>
            <w:vAlign w:val="center"/>
          </w:tcPr>
          <w:p w:rsidR="00CB60CD" w:rsidRPr="002267B5" w:rsidRDefault="00E23F98" w:rsidP="00BE504D">
            <w:pPr>
              <w:autoSpaceDE w:val="0"/>
              <w:autoSpaceDN w:val="0"/>
              <w:spacing w:before="120" w:after="120"/>
              <w:ind w:left="1365" w:hanging="1365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Final</w:t>
            </w:r>
            <w:r w:rsidR="00A53F42" w:rsidRPr="002267B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Local Government Settlement 201</w:t>
            </w:r>
            <w:r w:rsidR="00BE504D"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  <w:r w:rsidR="00A53F42" w:rsidRPr="002267B5">
              <w:rPr>
                <w:rFonts w:ascii="Arial" w:hAnsi="Arial" w:cs="Arial"/>
                <w:b/>
                <w:bCs/>
                <w:sz w:val="28"/>
                <w:szCs w:val="28"/>
              </w:rPr>
              <w:t>-1</w:t>
            </w:r>
            <w:r w:rsidR="00BE504D"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</w:p>
        </w:tc>
      </w:tr>
      <w:tr w:rsidR="00CB60CD" w:rsidRPr="00A52A00" w:rsidTr="002267B5">
        <w:tc>
          <w:tcPr>
            <w:tcW w:w="1418" w:type="dxa"/>
            <w:vAlign w:val="center"/>
          </w:tcPr>
          <w:p w:rsidR="00CB60CD" w:rsidRPr="00A53F42" w:rsidRDefault="00A53F42" w:rsidP="00E8713D">
            <w:pPr>
              <w:autoSpaceDE w:val="0"/>
              <w:autoSpaceDN w:val="0"/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3F42">
              <w:rPr>
                <w:rFonts w:ascii="Arial" w:hAnsi="Arial" w:cs="Arial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7881" w:type="dxa"/>
            <w:vAlign w:val="center"/>
          </w:tcPr>
          <w:p w:rsidR="00CB60CD" w:rsidRPr="00E23F98" w:rsidRDefault="00E23F98" w:rsidP="00BE504D">
            <w:pPr>
              <w:autoSpaceDE w:val="0"/>
              <w:autoSpaceDN w:val="0"/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BE504D">
              <w:rPr>
                <w:rFonts w:ascii="Arial" w:hAnsi="Arial" w:cs="Arial"/>
                <w:b/>
                <w:sz w:val="28"/>
                <w:szCs w:val="28"/>
              </w:rPr>
              <w:t>0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December</w:t>
            </w:r>
            <w:r w:rsidR="00A53F42" w:rsidRPr="002267B5">
              <w:rPr>
                <w:rFonts w:ascii="Arial" w:hAnsi="Arial" w:cs="Arial"/>
                <w:b/>
                <w:sz w:val="28"/>
                <w:szCs w:val="28"/>
              </w:rPr>
              <w:t xml:space="preserve"> 201</w:t>
            </w:r>
            <w:r w:rsidR="00BE504D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</w:tr>
      <w:tr w:rsidR="00CB60CD" w:rsidRPr="00A52A00" w:rsidTr="002267B5">
        <w:tc>
          <w:tcPr>
            <w:tcW w:w="1418" w:type="dxa"/>
          </w:tcPr>
          <w:p w:rsidR="00CB60CD" w:rsidRPr="00A53F42" w:rsidRDefault="00A53F42" w:rsidP="00C005CA">
            <w:pPr>
              <w:autoSpaceDE w:val="0"/>
              <w:autoSpaceDN w:val="0"/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3F42">
              <w:rPr>
                <w:rFonts w:ascii="Arial" w:hAnsi="Arial" w:cs="Arial"/>
                <w:b/>
                <w:bCs/>
                <w:sz w:val="28"/>
                <w:szCs w:val="28"/>
              </w:rPr>
              <w:t>By</w:t>
            </w:r>
          </w:p>
        </w:tc>
        <w:tc>
          <w:tcPr>
            <w:tcW w:w="7881" w:type="dxa"/>
            <w:vAlign w:val="center"/>
          </w:tcPr>
          <w:p w:rsidR="007C4D20" w:rsidRPr="002267B5" w:rsidRDefault="00BE504D" w:rsidP="00F602DA">
            <w:pPr>
              <w:autoSpaceDE w:val="0"/>
              <w:autoSpaceDN w:val="0"/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Alun Davies</w:t>
            </w:r>
            <w:r w:rsidR="00A52A00" w:rsidRPr="002267B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F234A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AM</w:t>
            </w:r>
          </w:p>
          <w:p w:rsidR="00CB60CD" w:rsidRPr="002267B5" w:rsidRDefault="00A53F42" w:rsidP="00BE504D">
            <w:pPr>
              <w:autoSpaceDE w:val="0"/>
              <w:autoSpaceDN w:val="0"/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267B5">
              <w:rPr>
                <w:rFonts w:ascii="Arial" w:hAnsi="Arial" w:cs="Arial"/>
                <w:b/>
                <w:bCs/>
                <w:sz w:val="28"/>
                <w:szCs w:val="28"/>
              </w:rPr>
              <w:t>Cabinet Secretary for Local Government</w:t>
            </w:r>
            <w:r w:rsidR="00A52A00" w:rsidRPr="002267B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BE504D">
              <w:rPr>
                <w:rFonts w:ascii="Arial" w:hAnsi="Arial" w:cs="Arial"/>
                <w:b/>
                <w:bCs/>
                <w:sz w:val="28"/>
                <w:szCs w:val="28"/>
              </w:rPr>
              <w:t>and Public Services</w:t>
            </w:r>
            <w:r w:rsidR="00C005CA" w:rsidRPr="002267B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666CC1" w:rsidRPr="00A52A00" w:rsidRDefault="00666CC1" w:rsidP="00CE3E89">
      <w:pPr>
        <w:spacing w:line="360" w:lineRule="auto"/>
        <w:rPr>
          <w:rFonts w:ascii="Arial" w:hAnsi="Arial"/>
          <w:color w:val="FF0000"/>
          <w:sz w:val="28"/>
          <w:lang w:val="cy-GB"/>
        </w:rPr>
      </w:pPr>
    </w:p>
    <w:p w:rsidR="002267B5" w:rsidRPr="00120FB1" w:rsidRDefault="002267B5" w:rsidP="002267B5">
      <w:pPr>
        <w:pStyle w:val="Default"/>
        <w:rPr>
          <w:szCs w:val="23"/>
        </w:rPr>
      </w:pPr>
      <w:r w:rsidRPr="00120FB1">
        <w:rPr>
          <w:szCs w:val="23"/>
        </w:rPr>
        <w:t xml:space="preserve">Following </w:t>
      </w:r>
      <w:r w:rsidR="00F932B7">
        <w:rPr>
          <w:szCs w:val="23"/>
        </w:rPr>
        <w:t>the</w:t>
      </w:r>
      <w:r w:rsidRPr="00120FB1">
        <w:rPr>
          <w:szCs w:val="23"/>
        </w:rPr>
        <w:t xml:space="preserve"> announcement yesterday of </w:t>
      </w:r>
      <w:r w:rsidR="00D30EAF">
        <w:rPr>
          <w:szCs w:val="23"/>
        </w:rPr>
        <w:t xml:space="preserve">the </w:t>
      </w:r>
      <w:r w:rsidR="008C5931">
        <w:rPr>
          <w:szCs w:val="23"/>
        </w:rPr>
        <w:t>Welsh Government’s F</w:t>
      </w:r>
      <w:r w:rsidR="00F234A7">
        <w:rPr>
          <w:szCs w:val="23"/>
        </w:rPr>
        <w:t xml:space="preserve">inal </w:t>
      </w:r>
      <w:r w:rsidR="008C5931">
        <w:rPr>
          <w:szCs w:val="23"/>
        </w:rPr>
        <w:t>B</w:t>
      </w:r>
      <w:r w:rsidR="00F234A7">
        <w:rPr>
          <w:szCs w:val="23"/>
        </w:rPr>
        <w:t>udget proposals for next year</w:t>
      </w:r>
      <w:r w:rsidRPr="00120FB1">
        <w:rPr>
          <w:szCs w:val="23"/>
        </w:rPr>
        <w:t xml:space="preserve">, I am today publishing </w:t>
      </w:r>
      <w:r w:rsidR="00120FB1">
        <w:rPr>
          <w:szCs w:val="23"/>
        </w:rPr>
        <w:t>details of the Final Loca</w:t>
      </w:r>
      <w:r w:rsidR="00BE504D">
        <w:rPr>
          <w:szCs w:val="23"/>
        </w:rPr>
        <w:t>l Government Settlement for 2018</w:t>
      </w:r>
      <w:r w:rsidR="00120FB1">
        <w:rPr>
          <w:szCs w:val="23"/>
        </w:rPr>
        <w:t>-1</w:t>
      </w:r>
      <w:r w:rsidR="00BE504D">
        <w:rPr>
          <w:szCs w:val="23"/>
        </w:rPr>
        <w:t>9</w:t>
      </w:r>
      <w:r w:rsidR="009D43CA">
        <w:rPr>
          <w:szCs w:val="23"/>
        </w:rPr>
        <w:t xml:space="preserve"> setting out the</w:t>
      </w:r>
      <w:r w:rsidRPr="00120FB1">
        <w:rPr>
          <w:szCs w:val="23"/>
        </w:rPr>
        <w:t xml:space="preserve"> allocations of core revenue funding for each of the 22 county and county borough councils. </w:t>
      </w:r>
    </w:p>
    <w:p w:rsidR="002267B5" w:rsidRPr="00120FB1" w:rsidRDefault="002267B5" w:rsidP="002267B5">
      <w:pPr>
        <w:pStyle w:val="Default"/>
        <w:rPr>
          <w:szCs w:val="23"/>
        </w:rPr>
      </w:pPr>
    </w:p>
    <w:p w:rsidR="00EB300B" w:rsidRPr="00EB300B" w:rsidRDefault="00EB300B" w:rsidP="002267B5">
      <w:pPr>
        <w:pStyle w:val="Default"/>
        <w:rPr>
          <w:sz w:val="22"/>
          <w:szCs w:val="23"/>
        </w:rPr>
      </w:pPr>
      <w:r w:rsidRPr="00EB300B">
        <w:rPr>
          <w:szCs w:val="28"/>
        </w:rPr>
        <w:t xml:space="preserve">In preparing the </w:t>
      </w:r>
      <w:r w:rsidR="007F7263">
        <w:rPr>
          <w:szCs w:val="28"/>
        </w:rPr>
        <w:t>f</w:t>
      </w:r>
      <w:r w:rsidRPr="00EB300B">
        <w:rPr>
          <w:szCs w:val="28"/>
        </w:rPr>
        <w:t xml:space="preserve">inal </w:t>
      </w:r>
      <w:r w:rsidR="007F7263">
        <w:rPr>
          <w:szCs w:val="28"/>
        </w:rPr>
        <w:t>s</w:t>
      </w:r>
      <w:r w:rsidRPr="00EB300B">
        <w:rPr>
          <w:szCs w:val="28"/>
        </w:rPr>
        <w:t xml:space="preserve">ettlement, I have given careful consideration to the responses I received to the consultation on the </w:t>
      </w:r>
      <w:r w:rsidR="007F7263">
        <w:rPr>
          <w:szCs w:val="28"/>
        </w:rPr>
        <w:t>p</w:t>
      </w:r>
      <w:r w:rsidRPr="00EB300B">
        <w:rPr>
          <w:szCs w:val="28"/>
        </w:rPr>
        <w:t xml:space="preserve">rovisional </w:t>
      </w:r>
      <w:r w:rsidR="007F7263">
        <w:rPr>
          <w:szCs w:val="28"/>
        </w:rPr>
        <w:t>s</w:t>
      </w:r>
      <w:r w:rsidR="00415865">
        <w:rPr>
          <w:szCs w:val="28"/>
        </w:rPr>
        <w:t>ettlement</w:t>
      </w:r>
      <w:r w:rsidR="009D43CA">
        <w:rPr>
          <w:szCs w:val="28"/>
        </w:rPr>
        <w:t xml:space="preserve"> which closed on 21 November</w:t>
      </w:r>
      <w:r w:rsidR="00415865">
        <w:rPr>
          <w:szCs w:val="28"/>
        </w:rPr>
        <w:t>.</w:t>
      </w:r>
      <w:r w:rsidRPr="00EB300B">
        <w:rPr>
          <w:szCs w:val="28"/>
        </w:rPr>
        <w:t xml:space="preserve"> </w:t>
      </w:r>
      <w:r w:rsidR="009D43CA">
        <w:rPr>
          <w:szCs w:val="28"/>
        </w:rPr>
        <w:t>This announcement</w:t>
      </w:r>
      <w:r w:rsidR="00F234A7" w:rsidRPr="00EB300B">
        <w:rPr>
          <w:szCs w:val="28"/>
        </w:rPr>
        <w:t xml:space="preserve"> </w:t>
      </w:r>
      <w:r w:rsidRPr="00EB300B">
        <w:rPr>
          <w:szCs w:val="28"/>
        </w:rPr>
        <w:t xml:space="preserve">provides </w:t>
      </w:r>
      <w:r w:rsidR="00C174F8">
        <w:rPr>
          <w:szCs w:val="28"/>
        </w:rPr>
        <w:t xml:space="preserve">councils with a </w:t>
      </w:r>
      <w:r w:rsidRPr="00EB300B">
        <w:rPr>
          <w:szCs w:val="28"/>
        </w:rPr>
        <w:t xml:space="preserve">robust basis for </w:t>
      </w:r>
      <w:r w:rsidR="00C174F8">
        <w:rPr>
          <w:szCs w:val="28"/>
        </w:rPr>
        <w:t xml:space="preserve">their </w:t>
      </w:r>
      <w:r w:rsidRPr="00EB300B">
        <w:rPr>
          <w:szCs w:val="28"/>
        </w:rPr>
        <w:t>financial planning for the coming financial year.</w:t>
      </w:r>
    </w:p>
    <w:p w:rsidR="00F932B7" w:rsidRDefault="00F932B7" w:rsidP="002267B5">
      <w:pPr>
        <w:pStyle w:val="Default"/>
        <w:rPr>
          <w:szCs w:val="23"/>
        </w:rPr>
      </w:pPr>
    </w:p>
    <w:p w:rsidR="00564733" w:rsidRDefault="00F932B7" w:rsidP="00564733">
      <w:pPr>
        <w:pStyle w:val="Default"/>
      </w:pPr>
      <w:r>
        <w:rPr>
          <w:szCs w:val="23"/>
        </w:rPr>
        <w:t xml:space="preserve">Compared with the provisional settlement, next year’s final settlement for 2018-19 will include an additional £20 million as a result of the </w:t>
      </w:r>
      <w:r w:rsidRPr="00F932B7">
        <w:rPr>
          <w:szCs w:val="23"/>
        </w:rPr>
        <w:t>Welsh Government</w:t>
      </w:r>
      <w:r>
        <w:rPr>
          <w:szCs w:val="23"/>
        </w:rPr>
        <w:t xml:space="preserve">’s final budget allocations. Also the final settlement includes a </w:t>
      </w:r>
      <w:r w:rsidRPr="009D43CA">
        <w:t>further £7 million to support the increase to the capital limit in charging for residential care to £40,000 commencing from April 2018. The changes mean the final settlement represents a slight cash increase overall</w:t>
      </w:r>
      <w:r w:rsidR="00697362">
        <w:t>,</w:t>
      </w:r>
      <w:r w:rsidR="009D43CA" w:rsidRPr="009D43CA">
        <w:t xml:space="preserve"> equivalent to an increase of 0.2% after adjusting for </w:t>
      </w:r>
      <w:bookmarkStart w:id="0" w:name="_GoBack"/>
      <w:bookmarkEnd w:id="0"/>
      <w:r w:rsidR="009D43CA" w:rsidRPr="009D43CA">
        <w:t>transfers.</w:t>
      </w:r>
    </w:p>
    <w:p w:rsidR="00564733" w:rsidRDefault="00564733" w:rsidP="00564733">
      <w:pPr>
        <w:pStyle w:val="Default"/>
      </w:pPr>
    </w:p>
    <w:p w:rsidR="00564733" w:rsidRPr="0099510E" w:rsidRDefault="009D43CA" w:rsidP="00564733">
      <w:pPr>
        <w:pStyle w:val="Default"/>
      </w:pPr>
      <w:r>
        <w:t xml:space="preserve">The settlement also </w:t>
      </w:r>
      <w:r w:rsidR="00564733">
        <w:t>provide</w:t>
      </w:r>
      <w:r w:rsidR="00B22850">
        <w:t>s</w:t>
      </w:r>
      <w:r w:rsidR="00564733" w:rsidRPr="00901086">
        <w:t xml:space="preserve"> an additional £1.</w:t>
      </w:r>
      <w:r w:rsidR="00564733">
        <w:t>3</w:t>
      </w:r>
      <w:r w:rsidR="00697362">
        <w:t xml:space="preserve"> million</w:t>
      </w:r>
      <w:r w:rsidR="00564733" w:rsidRPr="00901086">
        <w:t xml:space="preserve"> </w:t>
      </w:r>
      <w:r w:rsidR="00B22850">
        <w:t xml:space="preserve">of </w:t>
      </w:r>
      <w:r w:rsidR="00564733" w:rsidRPr="00901086">
        <w:t xml:space="preserve">funding to local authorities, </w:t>
      </w:r>
      <w:r w:rsidR="00564733">
        <w:t xml:space="preserve">for </w:t>
      </w:r>
      <w:r w:rsidR="00564733" w:rsidRPr="00901086">
        <w:t xml:space="preserve">them to use their discretionary powers to provide targeted </w:t>
      </w:r>
      <w:r w:rsidR="00564733">
        <w:t>relief</w:t>
      </w:r>
      <w:r w:rsidR="00564733" w:rsidRPr="00901086">
        <w:t xml:space="preserve"> to </w:t>
      </w:r>
      <w:r w:rsidR="00564733">
        <w:t xml:space="preserve">support </w:t>
      </w:r>
      <w:r w:rsidR="00564733" w:rsidRPr="00901086">
        <w:t xml:space="preserve">local businesses which </w:t>
      </w:r>
      <w:r w:rsidR="00564733" w:rsidRPr="0099510E">
        <w:t>would benefit most from additional assistance.</w:t>
      </w:r>
    </w:p>
    <w:p w:rsidR="009D43CA" w:rsidRDefault="009D43CA" w:rsidP="002267B5">
      <w:pPr>
        <w:pStyle w:val="Default"/>
        <w:rPr>
          <w:highlight w:val="yellow"/>
        </w:rPr>
      </w:pPr>
      <w:r w:rsidRPr="009D43CA">
        <w:br/>
      </w:r>
    </w:p>
    <w:p w:rsidR="00AE4908" w:rsidRDefault="009D43CA" w:rsidP="002267B5">
      <w:pPr>
        <w:pStyle w:val="Default"/>
        <w:rPr>
          <w:szCs w:val="23"/>
        </w:rPr>
      </w:pPr>
      <w:r w:rsidRPr="000B1482">
        <w:rPr>
          <w:szCs w:val="23"/>
        </w:rPr>
        <w:lastRenderedPageBreak/>
        <w:t xml:space="preserve">The additional funding means that I am also able to revise the floor arrangements set out in the provisional announcement such that no authority now faces a reduction of more than 0.5% compared with </w:t>
      </w:r>
      <w:r w:rsidR="00B22850">
        <w:rPr>
          <w:szCs w:val="23"/>
        </w:rPr>
        <w:t>the current</w:t>
      </w:r>
      <w:r w:rsidR="00B22850" w:rsidRPr="000B1482">
        <w:rPr>
          <w:szCs w:val="23"/>
        </w:rPr>
        <w:t xml:space="preserve"> </w:t>
      </w:r>
      <w:r w:rsidRPr="000B1482">
        <w:rPr>
          <w:szCs w:val="23"/>
        </w:rPr>
        <w:t>year</w:t>
      </w:r>
      <w:r w:rsidR="00697362">
        <w:rPr>
          <w:szCs w:val="23"/>
        </w:rPr>
        <w:t>,</w:t>
      </w:r>
      <w:r w:rsidRPr="000B1482">
        <w:rPr>
          <w:szCs w:val="23"/>
        </w:rPr>
        <w:t xml:space="preserve"> on a like for like basis.</w:t>
      </w:r>
      <w:r w:rsidR="00C81833">
        <w:rPr>
          <w:szCs w:val="23"/>
        </w:rPr>
        <w:br/>
      </w:r>
    </w:p>
    <w:p w:rsidR="00C81833" w:rsidRPr="000B1482" w:rsidRDefault="00C81833" w:rsidP="002267B5">
      <w:pPr>
        <w:pStyle w:val="Default"/>
        <w:rPr>
          <w:szCs w:val="23"/>
        </w:rPr>
      </w:pPr>
      <w:r>
        <w:rPr>
          <w:szCs w:val="23"/>
        </w:rPr>
        <w:t xml:space="preserve">Yesterday’s Final Budget announcement also included a further £20 million for local government in 2019-20. </w:t>
      </w:r>
    </w:p>
    <w:p w:rsidR="009D43CA" w:rsidRPr="00600968" w:rsidRDefault="009D43CA" w:rsidP="002267B5">
      <w:pPr>
        <w:pStyle w:val="Default"/>
        <w:rPr>
          <w:szCs w:val="23"/>
          <w:highlight w:val="yellow"/>
        </w:rPr>
      </w:pPr>
    </w:p>
    <w:p w:rsidR="00AE4908" w:rsidRDefault="00DD2711" w:rsidP="002267B5">
      <w:pPr>
        <w:pStyle w:val="Default"/>
      </w:pPr>
      <w:r w:rsidRPr="00580ECC">
        <w:t>This is a realistic settlement that continues to protect local government from significant cuts against a backdrop of reducing budgets from the UK Government.</w:t>
      </w:r>
    </w:p>
    <w:p w:rsidR="00DD2711" w:rsidRPr="00600968" w:rsidRDefault="00DD2711" w:rsidP="002267B5">
      <w:pPr>
        <w:pStyle w:val="Default"/>
        <w:rPr>
          <w:highlight w:val="yellow"/>
        </w:rPr>
      </w:pPr>
    </w:p>
    <w:p w:rsidR="002267B5" w:rsidRPr="00120FB1" w:rsidRDefault="00D31545" w:rsidP="002267B5">
      <w:pPr>
        <w:pStyle w:val="Default"/>
      </w:pPr>
      <w:r w:rsidRPr="00F77D78">
        <w:rPr>
          <w:color w:val="auto"/>
          <w:szCs w:val="28"/>
        </w:rPr>
        <w:t>Whil</w:t>
      </w:r>
      <w:r w:rsidR="0049253B">
        <w:rPr>
          <w:color w:val="auto"/>
          <w:szCs w:val="28"/>
        </w:rPr>
        <w:t>e</w:t>
      </w:r>
      <w:r w:rsidRPr="00F77D78">
        <w:rPr>
          <w:color w:val="auto"/>
          <w:szCs w:val="28"/>
        </w:rPr>
        <w:t xml:space="preserve"> the unhypothecated </w:t>
      </w:r>
      <w:r w:rsidRPr="00D31545">
        <w:rPr>
          <w:szCs w:val="28"/>
        </w:rPr>
        <w:t xml:space="preserve">Settlement is the largest single source of funding available to authorities, it is not the only one. </w:t>
      </w:r>
      <w:r w:rsidR="0049253B">
        <w:rPr>
          <w:szCs w:val="28"/>
        </w:rPr>
        <w:t xml:space="preserve"> </w:t>
      </w:r>
      <w:r w:rsidR="002267B5" w:rsidRPr="00D31545">
        <w:t xml:space="preserve">In setting their budgets and council tax levels for next year, I expect every </w:t>
      </w:r>
      <w:r w:rsidR="0049253B">
        <w:t>authority</w:t>
      </w:r>
      <w:r w:rsidR="002267B5" w:rsidRPr="00D31545">
        <w:t xml:space="preserve"> to take account of all the </w:t>
      </w:r>
      <w:r w:rsidR="00D3023C" w:rsidRPr="00D31545">
        <w:t xml:space="preserve">available </w:t>
      </w:r>
      <w:r w:rsidR="002267B5" w:rsidRPr="00D31545">
        <w:t>funding streams and to</w:t>
      </w:r>
      <w:r w:rsidR="002267B5" w:rsidRPr="00120FB1">
        <w:t xml:space="preserve"> consider how to secure best value for Welsh taxpayers through effective and efficient service provision. </w:t>
      </w:r>
      <w:r w:rsidR="0049253B">
        <w:t xml:space="preserve"> </w:t>
      </w:r>
      <w:r w:rsidR="002267B5" w:rsidRPr="00120FB1">
        <w:t xml:space="preserve">We offer considerable flexibility to authorities </w:t>
      </w:r>
      <w:r w:rsidR="009D43CA">
        <w:t>t</w:t>
      </w:r>
      <w:r w:rsidR="002267B5" w:rsidRPr="00120FB1">
        <w:t xml:space="preserve">o exercise autonomy and responsibility in managing their finances. </w:t>
      </w:r>
    </w:p>
    <w:p w:rsidR="00F77D78" w:rsidRPr="00120FB1" w:rsidRDefault="00F77D78" w:rsidP="002267B5">
      <w:pPr>
        <w:pStyle w:val="Default"/>
      </w:pPr>
    </w:p>
    <w:p w:rsidR="002267B5" w:rsidRPr="00120FB1" w:rsidRDefault="006408D3" w:rsidP="002267B5">
      <w:pPr>
        <w:pStyle w:val="Default"/>
        <w:rPr>
          <w:b/>
          <w:bCs/>
        </w:rPr>
      </w:pPr>
      <w:r>
        <w:rPr>
          <w:b/>
          <w:bCs/>
        </w:rPr>
        <w:t>R</w:t>
      </w:r>
      <w:r w:rsidR="002267B5" w:rsidRPr="00120FB1">
        <w:rPr>
          <w:b/>
          <w:bCs/>
        </w:rPr>
        <w:t xml:space="preserve">evenue grants </w:t>
      </w:r>
    </w:p>
    <w:p w:rsidR="002267B5" w:rsidRPr="00120FB1" w:rsidRDefault="002267B5" w:rsidP="002267B5">
      <w:pPr>
        <w:pStyle w:val="Default"/>
      </w:pPr>
    </w:p>
    <w:p w:rsidR="00FF416C" w:rsidRDefault="002267B5" w:rsidP="002267B5">
      <w:pPr>
        <w:pStyle w:val="Default"/>
      </w:pPr>
      <w:r w:rsidRPr="00120FB1">
        <w:t xml:space="preserve">Alongside the settlement, I am publishing </w:t>
      </w:r>
      <w:r w:rsidR="00D0520E">
        <w:t xml:space="preserve">the latest information on </w:t>
      </w:r>
      <w:r w:rsidRPr="00120FB1">
        <w:t>Welsh Government grant schemes planned for 201</w:t>
      </w:r>
      <w:r w:rsidR="00DD2711">
        <w:t>8</w:t>
      </w:r>
      <w:r w:rsidRPr="00120FB1">
        <w:t>-1</w:t>
      </w:r>
      <w:r w:rsidR="00DD2711">
        <w:t>9</w:t>
      </w:r>
      <w:r w:rsidRPr="00120FB1">
        <w:t xml:space="preserve">. </w:t>
      </w:r>
      <w:r w:rsidR="0049253B">
        <w:t xml:space="preserve"> </w:t>
      </w:r>
      <w:r w:rsidRPr="00120FB1">
        <w:t xml:space="preserve">This will assist local authorities in preparing their budgets for next year. </w:t>
      </w:r>
    </w:p>
    <w:p w:rsidR="00FF416C" w:rsidRPr="00FF416C" w:rsidRDefault="00FF416C" w:rsidP="00FF416C">
      <w:pPr>
        <w:rPr>
          <w:rFonts w:ascii="Arial" w:hAnsi="Arial" w:cs="Arial"/>
        </w:rPr>
      </w:pPr>
    </w:p>
    <w:p w:rsidR="00FF416C" w:rsidRPr="00120FB1" w:rsidRDefault="00FF416C" w:rsidP="00FF416C">
      <w:pPr>
        <w:pStyle w:val="Default"/>
        <w:rPr>
          <w:color w:val="auto"/>
        </w:rPr>
      </w:pPr>
      <w:r w:rsidRPr="00120FB1">
        <w:rPr>
          <w:b/>
          <w:bCs/>
          <w:color w:val="auto"/>
        </w:rPr>
        <w:t xml:space="preserve">Individual authority allocations </w:t>
      </w:r>
    </w:p>
    <w:p w:rsidR="00FF416C" w:rsidRPr="00120FB1" w:rsidRDefault="00FF416C" w:rsidP="00FF416C">
      <w:pPr>
        <w:pStyle w:val="Default"/>
        <w:rPr>
          <w:color w:val="auto"/>
        </w:rPr>
      </w:pPr>
    </w:p>
    <w:p w:rsidR="00FF416C" w:rsidRDefault="00FF416C" w:rsidP="00FF416C">
      <w:pPr>
        <w:pStyle w:val="Default"/>
        <w:rPr>
          <w:color w:val="auto"/>
        </w:rPr>
      </w:pPr>
      <w:r w:rsidRPr="00120FB1">
        <w:rPr>
          <w:color w:val="auto"/>
        </w:rPr>
        <w:t xml:space="preserve">Table 1 sets out the </w:t>
      </w:r>
      <w:r w:rsidR="00D0520E">
        <w:rPr>
          <w:color w:val="auto"/>
        </w:rPr>
        <w:t>final</w:t>
      </w:r>
      <w:r w:rsidR="00D0520E" w:rsidRPr="00120FB1">
        <w:rPr>
          <w:color w:val="auto"/>
        </w:rPr>
        <w:t xml:space="preserve"> </w:t>
      </w:r>
      <w:r w:rsidRPr="00120FB1">
        <w:rPr>
          <w:color w:val="auto"/>
        </w:rPr>
        <w:t xml:space="preserve">distribution of Aggregate External Finance (comprising </w:t>
      </w:r>
      <w:r w:rsidR="0049253B" w:rsidRPr="00120FB1">
        <w:rPr>
          <w:color w:val="auto"/>
        </w:rPr>
        <w:t xml:space="preserve">revenue support grant </w:t>
      </w:r>
      <w:r w:rsidRPr="00120FB1">
        <w:rPr>
          <w:color w:val="auto"/>
        </w:rPr>
        <w:t xml:space="preserve">and redistributed </w:t>
      </w:r>
      <w:r w:rsidR="0049253B" w:rsidRPr="00120FB1">
        <w:rPr>
          <w:color w:val="auto"/>
        </w:rPr>
        <w:t>non-domestic rates</w:t>
      </w:r>
      <w:r w:rsidRPr="00120FB1">
        <w:rPr>
          <w:color w:val="auto"/>
        </w:rPr>
        <w:t xml:space="preserve">) between the 22 </w:t>
      </w:r>
      <w:r w:rsidR="0049253B">
        <w:rPr>
          <w:color w:val="auto"/>
        </w:rPr>
        <w:t>councils</w:t>
      </w:r>
      <w:r w:rsidRPr="00120FB1">
        <w:rPr>
          <w:color w:val="auto"/>
        </w:rPr>
        <w:t xml:space="preserve"> for 201</w:t>
      </w:r>
      <w:r w:rsidR="00DD2711">
        <w:rPr>
          <w:color w:val="auto"/>
        </w:rPr>
        <w:t>8</w:t>
      </w:r>
      <w:r w:rsidRPr="00120FB1">
        <w:rPr>
          <w:color w:val="auto"/>
        </w:rPr>
        <w:t>-1</w:t>
      </w:r>
      <w:r w:rsidR="00DD2711">
        <w:rPr>
          <w:color w:val="auto"/>
        </w:rPr>
        <w:t>9</w:t>
      </w:r>
      <w:r w:rsidRPr="00120FB1">
        <w:rPr>
          <w:color w:val="auto"/>
        </w:rPr>
        <w:t xml:space="preserve">. </w:t>
      </w:r>
    </w:p>
    <w:p w:rsidR="00F77D78" w:rsidRDefault="00F77D78" w:rsidP="00FF416C">
      <w:pPr>
        <w:pStyle w:val="Default"/>
        <w:rPr>
          <w:color w:val="auto"/>
        </w:rPr>
      </w:pPr>
    </w:p>
    <w:p w:rsidR="006408D3" w:rsidRPr="00F77D78" w:rsidRDefault="006408D3" w:rsidP="00FF416C">
      <w:pPr>
        <w:pStyle w:val="Default"/>
        <w:rPr>
          <w:b/>
        </w:rPr>
      </w:pPr>
      <w:r w:rsidRPr="00F77D78">
        <w:rPr>
          <w:b/>
        </w:rPr>
        <w:t xml:space="preserve">Capital </w:t>
      </w:r>
      <w:r w:rsidR="00F064FB" w:rsidRPr="00F77D78">
        <w:rPr>
          <w:b/>
        </w:rPr>
        <w:t>settlement</w:t>
      </w:r>
    </w:p>
    <w:p w:rsidR="006408D3" w:rsidRDefault="006408D3" w:rsidP="00FF416C">
      <w:pPr>
        <w:pStyle w:val="Default"/>
      </w:pPr>
    </w:p>
    <w:p w:rsidR="00F064FB" w:rsidRDefault="006408D3" w:rsidP="00FF416C">
      <w:pPr>
        <w:pStyle w:val="Default"/>
        <w:rPr>
          <w:color w:val="auto"/>
        </w:rPr>
      </w:pPr>
      <w:r w:rsidRPr="00033E25">
        <w:t xml:space="preserve">Capital funding for </w:t>
      </w:r>
      <w:r w:rsidR="00DD2711" w:rsidRPr="00033E25">
        <w:rPr>
          <w:color w:val="auto"/>
        </w:rPr>
        <w:t xml:space="preserve">2018-19 </w:t>
      </w:r>
      <w:r w:rsidRPr="00033E25">
        <w:t>amounts to £</w:t>
      </w:r>
      <w:r w:rsidRPr="007E6F7E">
        <w:t>4</w:t>
      </w:r>
      <w:r w:rsidR="007E6F7E" w:rsidRPr="007E6F7E">
        <w:t>85</w:t>
      </w:r>
      <w:r w:rsidRPr="00033E25">
        <w:t xml:space="preserve"> million.</w:t>
      </w:r>
      <w:r w:rsidR="00262008" w:rsidRPr="00033E25">
        <w:t xml:space="preserve">  </w:t>
      </w:r>
      <w:r w:rsidRPr="00033E25">
        <w:t xml:space="preserve">Within this, General Capital Funding for </w:t>
      </w:r>
      <w:r w:rsidR="00DD2711" w:rsidRPr="00033E25">
        <w:rPr>
          <w:color w:val="auto"/>
        </w:rPr>
        <w:t>2018-19 and the following two year</w:t>
      </w:r>
      <w:r w:rsidR="000C04C6">
        <w:rPr>
          <w:color w:val="auto"/>
        </w:rPr>
        <w:t>s</w:t>
      </w:r>
      <w:r w:rsidR="00DD2711" w:rsidRPr="00033E25">
        <w:rPr>
          <w:color w:val="auto"/>
        </w:rPr>
        <w:t xml:space="preserve"> will remain </w:t>
      </w:r>
      <w:r w:rsidRPr="00033E25">
        <w:t>unchanged at £143 million.</w:t>
      </w:r>
      <w:r w:rsidR="00DD2711" w:rsidRPr="00033E25">
        <w:t xml:space="preserve"> This provides clarity and certainty on future funding for authorities’ own capital spending priorities.</w:t>
      </w:r>
      <w:r w:rsidR="00F064FB">
        <w:br/>
      </w:r>
    </w:p>
    <w:p w:rsidR="00D0520E" w:rsidRPr="00D0520E" w:rsidRDefault="00D0520E" w:rsidP="00FF416C">
      <w:pPr>
        <w:pStyle w:val="Default"/>
        <w:rPr>
          <w:color w:val="auto"/>
          <w:sz w:val="22"/>
        </w:rPr>
      </w:pPr>
      <w:r w:rsidRPr="00D0520E">
        <w:rPr>
          <w:szCs w:val="28"/>
        </w:rPr>
        <w:t xml:space="preserve">The motion for the National Assembly for Wales to approve the Local Government Finance Report for </w:t>
      </w:r>
      <w:r w:rsidR="00DD2711" w:rsidRPr="00120FB1">
        <w:rPr>
          <w:color w:val="auto"/>
        </w:rPr>
        <w:t>201</w:t>
      </w:r>
      <w:r w:rsidR="00DD2711">
        <w:rPr>
          <w:color w:val="auto"/>
        </w:rPr>
        <w:t>8</w:t>
      </w:r>
      <w:r w:rsidR="00DD2711" w:rsidRPr="00120FB1">
        <w:rPr>
          <w:color w:val="auto"/>
        </w:rPr>
        <w:t>-1</w:t>
      </w:r>
      <w:r w:rsidR="00DD2711">
        <w:rPr>
          <w:color w:val="auto"/>
        </w:rPr>
        <w:t xml:space="preserve">9 </w:t>
      </w:r>
      <w:r w:rsidRPr="00D0520E">
        <w:rPr>
          <w:szCs w:val="28"/>
        </w:rPr>
        <w:t xml:space="preserve">is scheduled for debate on </w:t>
      </w:r>
      <w:r>
        <w:rPr>
          <w:szCs w:val="28"/>
        </w:rPr>
        <w:t>1</w:t>
      </w:r>
      <w:r w:rsidR="00DD2711">
        <w:rPr>
          <w:szCs w:val="28"/>
        </w:rPr>
        <w:t>6</w:t>
      </w:r>
      <w:r>
        <w:rPr>
          <w:szCs w:val="28"/>
        </w:rPr>
        <w:t xml:space="preserve"> January</w:t>
      </w:r>
      <w:r w:rsidRPr="00D0520E">
        <w:rPr>
          <w:szCs w:val="28"/>
        </w:rPr>
        <w:t xml:space="preserve"> 201</w:t>
      </w:r>
      <w:r w:rsidR="00DD2711">
        <w:rPr>
          <w:szCs w:val="28"/>
        </w:rPr>
        <w:t>8</w:t>
      </w:r>
      <w:r w:rsidRPr="00D0520E">
        <w:rPr>
          <w:szCs w:val="28"/>
        </w:rPr>
        <w:t>.</w:t>
      </w:r>
    </w:p>
    <w:p w:rsidR="00FF416C" w:rsidRDefault="00FF416C" w:rsidP="00FF416C">
      <w:pPr>
        <w:pStyle w:val="Default"/>
        <w:rPr>
          <w:color w:val="auto"/>
        </w:rPr>
      </w:pPr>
    </w:p>
    <w:p w:rsidR="003F363E" w:rsidRPr="003F363E" w:rsidRDefault="003F363E" w:rsidP="003F363E">
      <w:r w:rsidRPr="003F363E">
        <w:rPr>
          <w:rFonts w:ascii="Arial" w:hAnsi="Arial" w:cs="Arial"/>
          <w:iCs/>
        </w:rPr>
        <w:t>This statement is being issued during recess in order to keep members informed. Should members wish me to make a further statement or to answer questions on this when the Assembly returns I would be happy to do so.</w:t>
      </w:r>
    </w:p>
    <w:p w:rsidR="003F363E" w:rsidRDefault="003F363E" w:rsidP="00FF416C">
      <w:pPr>
        <w:pStyle w:val="Default"/>
        <w:rPr>
          <w:color w:val="auto"/>
        </w:rPr>
      </w:pPr>
    </w:p>
    <w:p w:rsidR="00FF416C" w:rsidRPr="00120FB1" w:rsidRDefault="00FF416C" w:rsidP="002267B5">
      <w:pPr>
        <w:pStyle w:val="Default"/>
      </w:pPr>
    </w:p>
    <w:p w:rsidR="00A76755" w:rsidRPr="00120FB1" w:rsidRDefault="00A76755" w:rsidP="00CE3E89">
      <w:pPr>
        <w:spacing w:line="360" w:lineRule="auto"/>
        <w:rPr>
          <w:rFonts w:ascii="Arial" w:hAnsi="Arial" w:cs="Arial"/>
          <w:b/>
          <w:color w:val="FF0000"/>
          <w:sz w:val="28"/>
          <w:szCs w:val="28"/>
          <w:lang w:val="cy-GB"/>
        </w:rPr>
      </w:pPr>
    </w:p>
    <w:p w:rsidR="00D50C7A" w:rsidRPr="00120FB1" w:rsidRDefault="00D50C7A" w:rsidP="00D11DA9">
      <w:pPr>
        <w:spacing w:line="360" w:lineRule="auto"/>
        <w:rPr>
          <w:rFonts w:ascii="Arial" w:hAnsi="Arial"/>
          <w:color w:val="FF0000"/>
          <w:lang w:val="cy-GB"/>
        </w:rPr>
        <w:sectPr w:rsidR="00D50C7A" w:rsidRPr="00120FB1" w:rsidSect="00FA5EE8">
          <w:footerReference w:type="default" r:id="rId10"/>
          <w:pgSz w:w="11906" w:h="16838" w:code="9"/>
          <w:pgMar w:top="1418" w:right="1418" w:bottom="1134" w:left="1418" w:header="284" w:footer="567" w:gutter="0"/>
          <w:cols w:space="708"/>
          <w:docGrid w:linePitch="360"/>
        </w:sectPr>
      </w:pPr>
    </w:p>
    <w:p w:rsidR="00384C53" w:rsidRPr="00120FB1" w:rsidRDefault="007547BA" w:rsidP="00C50DCB">
      <w:pPr>
        <w:ind w:left="1134" w:hanging="1134"/>
        <w:rPr>
          <w:rFonts w:ascii="Arial" w:hAnsi="Arial" w:cs="Arial"/>
          <w:b/>
        </w:rPr>
      </w:pPr>
      <w:r w:rsidRPr="00120FB1">
        <w:rPr>
          <w:rFonts w:ascii="Arial" w:hAnsi="Arial" w:cs="Arial"/>
          <w:b/>
        </w:rPr>
        <w:lastRenderedPageBreak/>
        <w:t>Tabl</w:t>
      </w:r>
      <w:r w:rsidR="004C686D" w:rsidRPr="00120FB1">
        <w:rPr>
          <w:rFonts w:ascii="Arial" w:hAnsi="Arial" w:cs="Arial"/>
          <w:b/>
        </w:rPr>
        <w:t>e</w:t>
      </w:r>
      <w:r w:rsidR="009F001D" w:rsidRPr="00120FB1">
        <w:rPr>
          <w:rFonts w:ascii="Arial" w:hAnsi="Arial" w:cs="Arial"/>
          <w:b/>
        </w:rPr>
        <w:t xml:space="preserve"> 1: </w:t>
      </w:r>
      <w:r w:rsidR="00C50DCB" w:rsidRPr="00120FB1">
        <w:rPr>
          <w:rFonts w:ascii="Arial" w:hAnsi="Arial" w:cs="Arial"/>
          <w:b/>
        </w:rPr>
        <w:tab/>
      </w:r>
      <w:r w:rsidR="004B55D3">
        <w:rPr>
          <w:rFonts w:ascii="Arial" w:hAnsi="Arial" w:cs="Arial"/>
          <w:b/>
          <w:bCs/>
        </w:rPr>
        <w:t>2018</w:t>
      </w:r>
      <w:r w:rsidR="004C686D" w:rsidRPr="00120FB1">
        <w:rPr>
          <w:rFonts w:ascii="Arial" w:hAnsi="Arial" w:cs="Arial"/>
          <w:b/>
          <w:bCs/>
        </w:rPr>
        <w:t>-1</w:t>
      </w:r>
      <w:r w:rsidR="004B55D3">
        <w:rPr>
          <w:rFonts w:ascii="Arial" w:hAnsi="Arial" w:cs="Arial"/>
          <w:b/>
          <w:bCs/>
        </w:rPr>
        <w:t>9</w:t>
      </w:r>
      <w:r w:rsidR="004C686D" w:rsidRPr="00120FB1">
        <w:rPr>
          <w:rFonts w:ascii="Arial" w:hAnsi="Arial" w:cs="Arial"/>
          <w:b/>
          <w:bCs/>
        </w:rPr>
        <w:t xml:space="preserve"> </w:t>
      </w:r>
      <w:r w:rsidR="00D0520E">
        <w:rPr>
          <w:rFonts w:ascii="Arial" w:hAnsi="Arial" w:cs="Arial"/>
          <w:b/>
          <w:bCs/>
        </w:rPr>
        <w:t>final</w:t>
      </w:r>
      <w:r w:rsidR="00D0520E" w:rsidRPr="00120FB1">
        <w:rPr>
          <w:rFonts w:ascii="Arial" w:hAnsi="Arial" w:cs="Arial"/>
          <w:b/>
          <w:bCs/>
        </w:rPr>
        <w:t xml:space="preserve"> </w:t>
      </w:r>
      <w:r w:rsidR="004C686D" w:rsidRPr="00120FB1">
        <w:rPr>
          <w:rFonts w:ascii="Arial" w:hAnsi="Arial" w:cs="Arial"/>
          <w:b/>
          <w:bCs/>
        </w:rPr>
        <w:t>set</w:t>
      </w:r>
      <w:r w:rsidR="004B55D3">
        <w:rPr>
          <w:rFonts w:ascii="Arial" w:hAnsi="Arial" w:cs="Arial"/>
          <w:b/>
          <w:bCs/>
        </w:rPr>
        <w:t>tlement – comparison of the 2017</w:t>
      </w:r>
      <w:r w:rsidR="004C686D" w:rsidRPr="00120FB1">
        <w:rPr>
          <w:rFonts w:ascii="Arial" w:hAnsi="Arial" w:cs="Arial"/>
          <w:b/>
          <w:bCs/>
        </w:rPr>
        <w:t>-1</w:t>
      </w:r>
      <w:r w:rsidR="004B55D3">
        <w:rPr>
          <w:rFonts w:ascii="Arial" w:hAnsi="Arial" w:cs="Arial"/>
          <w:b/>
          <w:bCs/>
        </w:rPr>
        <w:t>8</w:t>
      </w:r>
      <w:r w:rsidR="004C686D" w:rsidRPr="00120FB1">
        <w:rPr>
          <w:rFonts w:ascii="Arial" w:hAnsi="Arial" w:cs="Arial"/>
          <w:b/>
          <w:bCs/>
        </w:rPr>
        <w:t xml:space="preserve"> AEF including top-up funding (adjusted for transfers</w:t>
      </w:r>
      <w:r w:rsidR="00F41343">
        <w:rPr>
          <w:rFonts w:ascii="Arial" w:hAnsi="Arial" w:cs="Arial"/>
          <w:b/>
          <w:bCs/>
        </w:rPr>
        <w:t xml:space="preserve"> and tax</w:t>
      </w:r>
      <w:r w:rsidR="00262008">
        <w:rPr>
          <w:rFonts w:ascii="Arial" w:hAnsi="Arial" w:cs="Arial"/>
          <w:b/>
          <w:bCs/>
        </w:rPr>
        <w:noBreakHyphen/>
      </w:r>
      <w:r w:rsidR="00F41343">
        <w:rPr>
          <w:rFonts w:ascii="Arial" w:hAnsi="Arial" w:cs="Arial"/>
          <w:b/>
          <w:bCs/>
        </w:rPr>
        <w:t>base</w:t>
      </w:r>
      <w:r w:rsidR="00262008">
        <w:rPr>
          <w:rFonts w:ascii="Arial" w:hAnsi="Arial" w:cs="Arial"/>
          <w:b/>
          <w:bCs/>
        </w:rPr>
        <w:t xml:space="preserve"> changes</w:t>
      </w:r>
      <w:r w:rsidR="004C686D" w:rsidRPr="00120FB1">
        <w:rPr>
          <w:rFonts w:ascii="Arial" w:hAnsi="Arial" w:cs="Arial"/>
          <w:b/>
          <w:bCs/>
        </w:rPr>
        <w:t>)</w:t>
      </w:r>
      <w:r w:rsidR="00F41343">
        <w:rPr>
          <w:rFonts w:ascii="Arial" w:hAnsi="Arial" w:cs="Arial"/>
          <w:b/>
          <w:bCs/>
        </w:rPr>
        <w:t xml:space="preserve"> and </w:t>
      </w:r>
      <w:r w:rsidR="004C686D" w:rsidRPr="00120FB1">
        <w:rPr>
          <w:rFonts w:ascii="Arial" w:hAnsi="Arial" w:cs="Arial"/>
          <w:b/>
          <w:bCs/>
        </w:rPr>
        <w:t>the 201</w:t>
      </w:r>
      <w:r w:rsidR="004B55D3">
        <w:rPr>
          <w:rFonts w:ascii="Arial" w:hAnsi="Arial" w:cs="Arial"/>
          <w:b/>
          <w:bCs/>
        </w:rPr>
        <w:t>8</w:t>
      </w:r>
      <w:r w:rsidR="004C686D" w:rsidRPr="00120FB1">
        <w:rPr>
          <w:rFonts w:ascii="Arial" w:hAnsi="Arial" w:cs="Arial"/>
          <w:b/>
          <w:bCs/>
        </w:rPr>
        <w:t>-1</w:t>
      </w:r>
      <w:r w:rsidR="004B55D3">
        <w:rPr>
          <w:rFonts w:ascii="Arial" w:hAnsi="Arial" w:cs="Arial"/>
          <w:b/>
          <w:bCs/>
        </w:rPr>
        <w:t>9</w:t>
      </w:r>
      <w:r w:rsidR="004C686D" w:rsidRPr="00120FB1">
        <w:rPr>
          <w:rFonts w:ascii="Arial" w:hAnsi="Arial" w:cs="Arial"/>
          <w:b/>
          <w:bCs/>
        </w:rPr>
        <w:t xml:space="preserve"> </w:t>
      </w:r>
      <w:r w:rsidR="00F41343">
        <w:rPr>
          <w:rFonts w:ascii="Arial" w:hAnsi="Arial" w:cs="Arial"/>
          <w:b/>
          <w:bCs/>
        </w:rPr>
        <w:t>fi</w:t>
      </w:r>
      <w:r w:rsidR="004C686D" w:rsidRPr="00120FB1">
        <w:rPr>
          <w:rFonts w:ascii="Arial" w:hAnsi="Arial" w:cs="Arial"/>
          <w:b/>
          <w:bCs/>
        </w:rPr>
        <w:t xml:space="preserve">nal AEF and top-up funding </w:t>
      </w:r>
    </w:p>
    <w:tbl>
      <w:tblPr>
        <w:tblW w:w="144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55"/>
        <w:gridCol w:w="286"/>
        <w:gridCol w:w="1427"/>
        <w:gridCol w:w="287"/>
        <w:gridCol w:w="1067"/>
        <w:gridCol w:w="287"/>
        <w:gridCol w:w="1570"/>
        <w:gridCol w:w="286"/>
        <w:gridCol w:w="857"/>
        <w:gridCol w:w="286"/>
        <w:gridCol w:w="1569"/>
        <w:gridCol w:w="287"/>
        <w:gridCol w:w="1337"/>
        <w:gridCol w:w="281"/>
        <w:gridCol w:w="572"/>
        <w:gridCol w:w="287"/>
        <w:gridCol w:w="1348"/>
      </w:tblGrid>
      <w:tr w:rsidR="00B22850" w:rsidRPr="00B22850" w:rsidTr="00320A0E">
        <w:trPr>
          <w:trHeight w:val="259"/>
        </w:trPr>
        <w:tc>
          <w:tcPr>
            <w:tcW w:w="2455" w:type="dxa"/>
            <w:tcBorders>
              <w:bottom w:val="single" w:sz="4" w:space="0" w:color="auto"/>
            </w:tcBorders>
            <w:shd w:val="solid" w:color="FFFFFF" w:fill="auto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solid" w:color="FFFFFF" w:fill="auto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  <w:shd w:val="solid" w:color="FFFFFF" w:fill="auto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  <w:shd w:val="solid" w:color="FFFFFF" w:fill="auto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solid" w:color="FFFFFF" w:fill="auto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  <w:shd w:val="solid" w:color="FFFFFF" w:fill="auto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  <w:shd w:val="solid" w:color="FFFFFF" w:fill="auto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solid" w:color="FFFFFF" w:fill="auto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  <w:shd w:val="solid" w:color="FFFFFF" w:fill="auto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solid" w:color="FFFFFF" w:fill="auto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shd w:val="solid" w:color="FFFFFF" w:fill="auto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  <w:shd w:val="solid" w:color="FFFFFF" w:fill="auto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  <w:shd w:val="solid" w:color="FFFFFF" w:fill="auto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solid" w:color="FFFFFF" w:fill="auto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solid" w:color="FFFFFF" w:fill="auto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  <w:shd w:val="solid" w:color="FFFFFF" w:fill="auto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  <w:shd w:val="solid" w:color="FFFFFF" w:fill="auto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2285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£000s</w:t>
            </w:r>
          </w:p>
        </w:tc>
      </w:tr>
      <w:tr w:rsidR="00B22850" w:rsidRPr="00B22850" w:rsidTr="00320A0E">
        <w:trPr>
          <w:trHeight w:val="678"/>
        </w:trPr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  <w:vAlign w:val="center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2850" w:rsidRPr="00B22850" w:rsidRDefault="00B22850" w:rsidP="00320A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22850">
              <w:rPr>
                <w:rFonts w:ascii="Arial" w:hAnsi="Arial" w:cs="Arial"/>
                <w:b/>
                <w:sz w:val="20"/>
                <w:szCs w:val="20"/>
              </w:rPr>
              <w:t>Unitary authority</w:t>
            </w:r>
          </w:p>
        </w:tc>
        <w:tc>
          <w:tcPr>
            <w:tcW w:w="286" w:type="dxa"/>
            <w:tcBorders>
              <w:top w:val="single" w:sz="4" w:space="0" w:color="auto"/>
            </w:tcBorders>
            <w:shd w:val="solid" w:color="FFFFFF" w:fill="auto"/>
            <w:vAlign w:val="center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  <w:vAlign w:val="center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2850">
              <w:rPr>
                <w:rFonts w:ascii="Arial" w:hAnsi="Arial" w:cs="Arial"/>
                <w:b/>
                <w:sz w:val="20"/>
                <w:szCs w:val="20"/>
              </w:rPr>
              <w:t>2017-18</w:t>
            </w:r>
          </w:p>
          <w:p w:rsidR="00B22850" w:rsidRPr="00B22850" w:rsidRDefault="00B22850" w:rsidP="00320A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2850">
              <w:rPr>
                <w:rFonts w:ascii="Arial" w:hAnsi="Arial" w:cs="Arial"/>
                <w:b/>
                <w:sz w:val="20"/>
                <w:szCs w:val="20"/>
              </w:rPr>
              <w:t>adjusted AEF plus top-up funding</w:t>
            </w:r>
            <w:r w:rsidRPr="00B2285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87" w:type="dxa"/>
            <w:tcBorders>
              <w:top w:val="single" w:sz="4" w:space="0" w:color="auto"/>
            </w:tcBorders>
            <w:shd w:val="solid" w:color="FFFFFF" w:fill="auto"/>
            <w:vAlign w:val="center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  <w:vAlign w:val="center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2850">
              <w:rPr>
                <w:rFonts w:ascii="Arial" w:hAnsi="Arial" w:cs="Arial"/>
                <w:b/>
                <w:sz w:val="20"/>
                <w:szCs w:val="20"/>
              </w:rPr>
              <w:t>Of which top-up funding</w:t>
            </w:r>
          </w:p>
        </w:tc>
        <w:tc>
          <w:tcPr>
            <w:tcW w:w="287" w:type="dxa"/>
            <w:tcBorders>
              <w:top w:val="single" w:sz="4" w:space="0" w:color="auto"/>
            </w:tcBorders>
            <w:shd w:val="solid" w:color="FFFFFF" w:fill="auto"/>
            <w:vAlign w:val="center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  <w:vAlign w:val="center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2850">
              <w:rPr>
                <w:rFonts w:ascii="Arial" w:hAnsi="Arial" w:cs="Arial"/>
                <w:b/>
                <w:sz w:val="20"/>
                <w:szCs w:val="20"/>
              </w:rPr>
              <w:t>2018-19 final AEF</w:t>
            </w:r>
          </w:p>
        </w:tc>
        <w:tc>
          <w:tcPr>
            <w:tcW w:w="286" w:type="dxa"/>
            <w:tcBorders>
              <w:top w:val="single" w:sz="4" w:space="0" w:color="auto"/>
            </w:tcBorders>
            <w:shd w:val="solid" w:color="FFFFFF" w:fill="auto"/>
            <w:vAlign w:val="center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  <w:vAlign w:val="center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2850">
              <w:rPr>
                <w:rFonts w:ascii="Arial" w:hAnsi="Arial" w:cs="Arial"/>
                <w:b/>
                <w:sz w:val="20"/>
                <w:szCs w:val="20"/>
              </w:rPr>
              <w:t>2018-19 top-up</w:t>
            </w:r>
          </w:p>
          <w:p w:rsidR="00B22850" w:rsidRPr="00B22850" w:rsidRDefault="00B22850" w:rsidP="00320A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2850">
              <w:rPr>
                <w:rFonts w:ascii="Arial" w:hAnsi="Arial" w:cs="Arial"/>
                <w:b/>
                <w:sz w:val="20"/>
                <w:szCs w:val="20"/>
              </w:rPr>
              <w:t>funding</w:t>
            </w:r>
          </w:p>
        </w:tc>
        <w:tc>
          <w:tcPr>
            <w:tcW w:w="286" w:type="dxa"/>
            <w:tcBorders>
              <w:top w:val="single" w:sz="4" w:space="0" w:color="auto"/>
            </w:tcBorders>
            <w:shd w:val="solid" w:color="FFFFFF" w:fill="auto"/>
            <w:vAlign w:val="center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  <w:vAlign w:val="center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2850">
              <w:rPr>
                <w:rFonts w:ascii="Arial" w:hAnsi="Arial" w:cs="Arial"/>
                <w:b/>
                <w:sz w:val="20"/>
                <w:szCs w:val="20"/>
              </w:rPr>
              <w:t xml:space="preserve">2018-19 </w:t>
            </w:r>
          </w:p>
          <w:p w:rsidR="00B22850" w:rsidRPr="00B22850" w:rsidRDefault="00B22850" w:rsidP="00320A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2850">
              <w:rPr>
                <w:rFonts w:ascii="Arial" w:hAnsi="Arial" w:cs="Arial"/>
                <w:b/>
                <w:sz w:val="20"/>
                <w:szCs w:val="20"/>
              </w:rPr>
              <w:t>final AEF plus top</w:t>
            </w:r>
            <w:r w:rsidRPr="00B22850">
              <w:rPr>
                <w:rFonts w:ascii="Arial" w:hAnsi="Arial" w:cs="Arial"/>
                <w:b/>
                <w:sz w:val="20"/>
                <w:szCs w:val="20"/>
              </w:rPr>
              <w:noBreakHyphen/>
              <w:t>up funding</w:t>
            </w:r>
            <w:r w:rsidRPr="00B2285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7" w:type="dxa"/>
            <w:tcBorders>
              <w:top w:val="single" w:sz="4" w:space="0" w:color="auto"/>
            </w:tcBorders>
            <w:shd w:val="solid" w:color="FFFFFF" w:fill="auto"/>
            <w:vAlign w:val="center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  <w:vAlign w:val="center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2850">
              <w:rPr>
                <w:rFonts w:ascii="Arial" w:hAnsi="Arial" w:cs="Arial"/>
                <w:b/>
                <w:sz w:val="20"/>
                <w:szCs w:val="20"/>
              </w:rPr>
              <w:t>% change on adjusted 2017-18 AEF plus top-up funding</w:t>
            </w:r>
          </w:p>
        </w:tc>
        <w:tc>
          <w:tcPr>
            <w:tcW w:w="281" w:type="dxa"/>
            <w:tcBorders>
              <w:top w:val="single" w:sz="4" w:space="0" w:color="auto"/>
            </w:tcBorders>
            <w:shd w:val="solid" w:color="FFFFFF" w:fill="auto"/>
            <w:vAlign w:val="center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  <w:vAlign w:val="center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2850">
              <w:rPr>
                <w:rFonts w:ascii="Arial" w:hAnsi="Arial" w:cs="Arial"/>
                <w:b/>
                <w:sz w:val="20"/>
                <w:szCs w:val="20"/>
              </w:rPr>
              <w:t>Rank</w:t>
            </w:r>
          </w:p>
        </w:tc>
        <w:tc>
          <w:tcPr>
            <w:tcW w:w="287" w:type="dxa"/>
            <w:tcBorders>
              <w:top w:val="single" w:sz="4" w:space="0" w:color="auto"/>
            </w:tcBorders>
            <w:shd w:val="solid" w:color="FFFFFF" w:fill="auto"/>
            <w:vAlign w:val="center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  <w:vAlign w:val="center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2850">
              <w:rPr>
                <w:rFonts w:ascii="Arial" w:hAnsi="Arial" w:cs="Arial"/>
                <w:b/>
                <w:sz w:val="20"/>
                <w:szCs w:val="20"/>
              </w:rPr>
              <w:t>Council Tax Reduction Schemes (distributed within AEF)</w:t>
            </w:r>
          </w:p>
        </w:tc>
      </w:tr>
      <w:tr w:rsidR="00B22850" w:rsidRPr="00B22850" w:rsidTr="00320A0E">
        <w:trPr>
          <w:trHeight w:val="103"/>
        </w:trPr>
        <w:tc>
          <w:tcPr>
            <w:tcW w:w="2455" w:type="dxa"/>
            <w:tcBorders>
              <w:top w:val="single" w:sz="4" w:space="0" w:color="auto"/>
            </w:tcBorders>
            <w:shd w:val="solid" w:color="FFFFFF" w:fill="auto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shd w:val="solid" w:color="FFFFFF" w:fill="auto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solid" w:color="FFFFFF" w:fill="auto"/>
            <w:vAlign w:val="center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shd w:val="solid" w:color="FFFFFF" w:fill="auto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</w:tcBorders>
            <w:shd w:val="solid" w:color="FFFFFF" w:fill="auto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shd w:val="solid" w:color="FFFFFF" w:fill="auto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</w:tcBorders>
            <w:shd w:val="solid" w:color="FFFFFF" w:fill="auto"/>
            <w:vAlign w:val="center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86" w:type="dxa"/>
            <w:shd w:val="solid" w:color="FFFFFF" w:fill="auto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tcBorders>
              <w:top w:val="single" w:sz="4" w:space="0" w:color="auto"/>
            </w:tcBorders>
            <w:shd w:val="solid" w:color="FFFFFF" w:fill="auto"/>
            <w:vAlign w:val="center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86" w:type="dxa"/>
            <w:shd w:val="solid" w:color="FFFFFF" w:fill="auto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69" w:type="dxa"/>
            <w:tcBorders>
              <w:top w:val="single" w:sz="4" w:space="0" w:color="auto"/>
            </w:tcBorders>
            <w:shd w:val="solid" w:color="FFFFFF" w:fill="auto"/>
            <w:vAlign w:val="center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87" w:type="dxa"/>
            <w:shd w:val="solid" w:color="FFFFFF" w:fill="auto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337" w:type="dxa"/>
            <w:tcBorders>
              <w:top w:val="single" w:sz="4" w:space="0" w:color="auto"/>
            </w:tcBorders>
            <w:shd w:val="solid" w:color="FFFFFF" w:fill="auto"/>
            <w:vAlign w:val="center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81" w:type="dxa"/>
            <w:shd w:val="solid" w:color="FFFFFF" w:fill="auto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  <w:shd w:val="solid" w:color="FFFFFF" w:fill="auto"/>
            <w:vAlign w:val="center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87" w:type="dxa"/>
            <w:shd w:val="solid" w:color="FFFFFF" w:fill="auto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348" w:type="dxa"/>
            <w:tcBorders>
              <w:top w:val="single" w:sz="4" w:space="0" w:color="auto"/>
            </w:tcBorders>
            <w:shd w:val="solid" w:color="FFFFFF" w:fill="auto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B22850" w:rsidRPr="00B22850" w:rsidTr="00320A0E">
        <w:trPr>
          <w:trHeight w:val="259"/>
        </w:trPr>
        <w:tc>
          <w:tcPr>
            <w:tcW w:w="2455" w:type="dxa"/>
            <w:shd w:val="solid" w:color="FFFFFF" w:fill="auto"/>
            <w:vAlign w:val="center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>Isle of Anglesey</w:t>
            </w:r>
          </w:p>
        </w:tc>
        <w:tc>
          <w:tcPr>
            <w:tcW w:w="286" w:type="dxa"/>
            <w:shd w:val="solid" w:color="FFFFFF" w:fill="auto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>95,191</w:t>
            </w:r>
          </w:p>
        </w:tc>
        <w:tc>
          <w:tcPr>
            <w:tcW w:w="287" w:type="dxa"/>
            <w:shd w:val="solid" w:color="FFFFFF" w:fill="auto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shd w:val="solid" w:color="FFFFFF" w:fill="auto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7" w:type="dxa"/>
            <w:shd w:val="solid" w:color="FFFFFF" w:fill="auto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shd w:val="solid" w:color="FFFFFF" w:fill="auto"/>
            <w:vAlign w:val="bottom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>95,812</w:t>
            </w:r>
          </w:p>
        </w:tc>
        <w:tc>
          <w:tcPr>
            <w:tcW w:w="286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shd w:val="solid" w:color="FFFFFF" w:fill="auto"/>
            <w:vAlign w:val="bottom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285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6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69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 xml:space="preserve"> 95,812 </w:t>
            </w:r>
          </w:p>
        </w:tc>
        <w:tc>
          <w:tcPr>
            <w:tcW w:w="287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37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>0.7%</w:t>
            </w:r>
          </w:p>
        </w:tc>
        <w:tc>
          <w:tcPr>
            <w:tcW w:w="281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72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7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348" w:type="dxa"/>
            <w:shd w:val="solid" w:color="FFFFFF" w:fill="auto"/>
            <w:vAlign w:val="bottom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>5,187</w:t>
            </w:r>
          </w:p>
        </w:tc>
      </w:tr>
      <w:tr w:rsidR="00B22850" w:rsidRPr="00B22850" w:rsidTr="00320A0E">
        <w:trPr>
          <w:trHeight w:val="259"/>
        </w:trPr>
        <w:tc>
          <w:tcPr>
            <w:tcW w:w="2455" w:type="dxa"/>
            <w:shd w:val="solid" w:color="FFFFFF" w:fill="auto"/>
            <w:vAlign w:val="center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>Gwynedd</w:t>
            </w:r>
          </w:p>
        </w:tc>
        <w:tc>
          <w:tcPr>
            <w:tcW w:w="286" w:type="dxa"/>
            <w:shd w:val="solid" w:color="FFFFFF" w:fill="auto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>174,093</w:t>
            </w:r>
          </w:p>
        </w:tc>
        <w:tc>
          <w:tcPr>
            <w:tcW w:w="287" w:type="dxa"/>
            <w:shd w:val="solid" w:color="FFFFFF" w:fill="auto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shd w:val="solid" w:color="FFFFFF" w:fill="auto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7" w:type="dxa"/>
            <w:shd w:val="solid" w:color="FFFFFF" w:fill="auto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shd w:val="solid" w:color="FFFFFF" w:fill="auto"/>
            <w:vAlign w:val="bottom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>175,127</w:t>
            </w:r>
          </w:p>
        </w:tc>
        <w:tc>
          <w:tcPr>
            <w:tcW w:w="286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shd w:val="solid" w:color="FFFFFF" w:fill="auto"/>
            <w:vAlign w:val="bottom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285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6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69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 xml:space="preserve"> 175,127 </w:t>
            </w:r>
          </w:p>
        </w:tc>
        <w:tc>
          <w:tcPr>
            <w:tcW w:w="287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37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>0.6%</w:t>
            </w:r>
          </w:p>
        </w:tc>
        <w:tc>
          <w:tcPr>
            <w:tcW w:w="281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72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7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348" w:type="dxa"/>
            <w:shd w:val="solid" w:color="FFFFFF" w:fill="auto"/>
            <w:vAlign w:val="bottom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>8,926</w:t>
            </w:r>
          </w:p>
        </w:tc>
      </w:tr>
      <w:tr w:rsidR="00B22850" w:rsidRPr="00B22850" w:rsidTr="00320A0E">
        <w:trPr>
          <w:trHeight w:val="259"/>
        </w:trPr>
        <w:tc>
          <w:tcPr>
            <w:tcW w:w="2455" w:type="dxa"/>
            <w:shd w:val="solid" w:color="FFFFFF" w:fill="auto"/>
            <w:vAlign w:val="center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>Conwy</w:t>
            </w:r>
          </w:p>
        </w:tc>
        <w:tc>
          <w:tcPr>
            <w:tcW w:w="286" w:type="dxa"/>
            <w:shd w:val="solid" w:color="FFFFFF" w:fill="auto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>154,386</w:t>
            </w:r>
          </w:p>
        </w:tc>
        <w:tc>
          <w:tcPr>
            <w:tcW w:w="287" w:type="dxa"/>
            <w:shd w:val="solid" w:color="FFFFFF" w:fill="auto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shd w:val="solid" w:color="FFFFFF" w:fill="auto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7" w:type="dxa"/>
            <w:shd w:val="solid" w:color="FFFFFF" w:fill="auto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shd w:val="solid" w:color="FFFFFF" w:fill="auto"/>
            <w:vAlign w:val="bottom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>153,576</w:t>
            </w:r>
          </w:p>
        </w:tc>
        <w:tc>
          <w:tcPr>
            <w:tcW w:w="286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shd w:val="solid" w:color="FFFFFF" w:fill="auto"/>
            <w:vAlign w:val="bottom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2850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86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69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 xml:space="preserve"> 153,615 </w:t>
            </w:r>
          </w:p>
        </w:tc>
        <w:tc>
          <w:tcPr>
            <w:tcW w:w="287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37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>-0.5%</w:t>
            </w:r>
          </w:p>
        </w:tc>
        <w:tc>
          <w:tcPr>
            <w:tcW w:w="281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72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87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348" w:type="dxa"/>
            <w:shd w:val="solid" w:color="FFFFFF" w:fill="auto"/>
            <w:vAlign w:val="bottom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>8,976</w:t>
            </w:r>
          </w:p>
        </w:tc>
      </w:tr>
      <w:tr w:rsidR="00B22850" w:rsidRPr="00B22850" w:rsidTr="00320A0E">
        <w:trPr>
          <w:trHeight w:val="259"/>
        </w:trPr>
        <w:tc>
          <w:tcPr>
            <w:tcW w:w="2455" w:type="dxa"/>
            <w:shd w:val="solid" w:color="FFFFFF" w:fill="auto"/>
            <w:vAlign w:val="center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>Denbighshire</w:t>
            </w:r>
          </w:p>
        </w:tc>
        <w:tc>
          <w:tcPr>
            <w:tcW w:w="286" w:type="dxa"/>
            <w:shd w:val="solid" w:color="FFFFFF" w:fill="auto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>143,395</w:t>
            </w:r>
          </w:p>
        </w:tc>
        <w:tc>
          <w:tcPr>
            <w:tcW w:w="287" w:type="dxa"/>
            <w:shd w:val="solid" w:color="FFFFFF" w:fill="auto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shd w:val="solid" w:color="FFFFFF" w:fill="auto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7" w:type="dxa"/>
            <w:shd w:val="solid" w:color="FFFFFF" w:fill="auto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shd w:val="solid" w:color="FFFFFF" w:fill="auto"/>
            <w:vAlign w:val="bottom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>143,119</w:t>
            </w:r>
          </w:p>
        </w:tc>
        <w:tc>
          <w:tcPr>
            <w:tcW w:w="286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shd w:val="solid" w:color="FFFFFF" w:fill="auto"/>
            <w:vAlign w:val="bottom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285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6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69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 xml:space="preserve"> 143,119 </w:t>
            </w:r>
          </w:p>
        </w:tc>
        <w:tc>
          <w:tcPr>
            <w:tcW w:w="287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37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>-0.2%</w:t>
            </w:r>
          </w:p>
        </w:tc>
        <w:tc>
          <w:tcPr>
            <w:tcW w:w="281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72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7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348" w:type="dxa"/>
            <w:shd w:val="solid" w:color="FFFFFF" w:fill="auto"/>
            <w:vAlign w:val="bottom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>9,172</w:t>
            </w:r>
          </w:p>
        </w:tc>
      </w:tr>
      <w:tr w:rsidR="00B22850" w:rsidRPr="00B22850" w:rsidTr="00320A0E">
        <w:trPr>
          <w:trHeight w:val="259"/>
        </w:trPr>
        <w:tc>
          <w:tcPr>
            <w:tcW w:w="2455" w:type="dxa"/>
            <w:shd w:val="solid" w:color="FFFFFF" w:fill="auto"/>
            <w:vAlign w:val="center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>Flintshire</w:t>
            </w:r>
          </w:p>
        </w:tc>
        <w:tc>
          <w:tcPr>
            <w:tcW w:w="286" w:type="dxa"/>
            <w:shd w:val="solid" w:color="FFFFFF" w:fill="auto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>189,565</w:t>
            </w:r>
          </w:p>
        </w:tc>
        <w:tc>
          <w:tcPr>
            <w:tcW w:w="287" w:type="dxa"/>
            <w:shd w:val="solid" w:color="FFFFFF" w:fill="auto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shd w:val="solid" w:color="FFFFFF" w:fill="auto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7" w:type="dxa"/>
            <w:shd w:val="solid" w:color="FFFFFF" w:fill="auto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shd w:val="solid" w:color="FFFFFF" w:fill="auto"/>
            <w:vAlign w:val="bottom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>189,156</w:t>
            </w:r>
          </w:p>
        </w:tc>
        <w:tc>
          <w:tcPr>
            <w:tcW w:w="286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shd w:val="solid" w:color="FFFFFF" w:fill="auto"/>
            <w:vAlign w:val="bottom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285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6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69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 xml:space="preserve"> 189,156 </w:t>
            </w:r>
          </w:p>
        </w:tc>
        <w:tc>
          <w:tcPr>
            <w:tcW w:w="287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37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>-0.2%</w:t>
            </w:r>
          </w:p>
        </w:tc>
        <w:tc>
          <w:tcPr>
            <w:tcW w:w="281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72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87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348" w:type="dxa"/>
            <w:shd w:val="solid" w:color="FFFFFF" w:fill="auto"/>
            <w:vAlign w:val="bottom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>9,761</w:t>
            </w:r>
          </w:p>
        </w:tc>
      </w:tr>
      <w:tr w:rsidR="00B22850" w:rsidRPr="00B22850" w:rsidTr="00320A0E">
        <w:trPr>
          <w:trHeight w:val="259"/>
        </w:trPr>
        <w:tc>
          <w:tcPr>
            <w:tcW w:w="2455" w:type="dxa"/>
            <w:shd w:val="solid" w:color="FFFFFF" w:fill="auto"/>
            <w:vAlign w:val="center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>Wrexham</w:t>
            </w:r>
          </w:p>
        </w:tc>
        <w:tc>
          <w:tcPr>
            <w:tcW w:w="286" w:type="dxa"/>
            <w:shd w:val="solid" w:color="FFFFFF" w:fill="auto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>174,009</w:t>
            </w:r>
          </w:p>
        </w:tc>
        <w:tc>
          <w:tcPr>
            <w:tcW w:w="287" w:type="dxa"/>
            <w:shd w:val="solid" w:color="FFFFFF" w:fill="auto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shd w:val="solid" w:color="FFFFFF" w:fill="auto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7" w:type="dxa"/>
            <w:shd w:val="solid" w:color="FFFFFF" w:fill="auto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shd w:val="solid" w:color="FFFFFF" w:fill="auto"/>
            <w:vAlign w:val="bottom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>174,636</w:t>
            </w:r>
          </w:p>
        </w:tc>
        <w:tc>
          <w:tcPr>
            <w:tcW w:w="286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shd w:val="solid" w:color="FFFFFF" w:fill="auto"/>
            <w:vAlign w:val="bottom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285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6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69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 xml:space="preserve"> 174,636 </w:t>
            </w:r>
          </w:p>
        </w:tc>
        <w:tc>
          <w:tcPr>
            <w:tcW w:w="287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37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>0.4%</w:t>
            </w:r>
          </w:p>
        </w:tc>
        <w:tc>
          <w:tcPr>
            <w:tcW w:w="281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72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7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348" w:type="dxa"/>
            <w:shd w:val="solid" w:color="FFFFFF" w:fill="auto"/>
            <w:vAlign w:val="bottom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>9,672</w:t>
            </w:r>
          </w:p>
        </w:tc>
      </w:tr>
      <w:tr w:rsidR="00B22850" w:rsidRPr="00B22850" w:rsidTr="00320A0E">
        <w:trPr>
          <w:trHeight w:val="259"/>
        </w:trPr>
        <w:tc>
          <w:tcPr>
            <w:tcW w:w="2455" w:type="dxa"/>
            <w:shd w:val="solid" w:color="FFFFFF" w:fill="auto"/>
            <w:vAlign w:val="center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>Powys</w:t>
            </w:r>
          </w:p>
        </w:tc>
        <w:tc>
          <w:tcPr>
            <w:tcW w:w="286" w:type="dxa"/>
            <w:shd w:val="solid" w:color="FFFFFF" w:fill="auto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>174,706</w:t>
            </w:r>
          </w:p>
        </w:tc>
        <w:tc>
          <w:tcPr>
            <w:tcW w:w="287" w:type="dxa"/>
            <w:shd w:val="solid" w:color="FFFFFF" w:fill="auto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shd w:val="solid" w:color="FFFFFF" w:fill="auto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>1,237</w:t>
            </w:r>
          </w:p>
        </w:tc>
        <w:tc>
          <w:tcPr>
            <w:tcW w:w="287" w:type="dxa"/>
            <w:shd w:val="solid" w:color="FFFFFF" w:fill="auto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shd w:val="solid" w:color="FFFFFF" w:fill="auto"/>
            <w:vAlign w:val="bottom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>174,026</w:t>
            </w:r>
          </w:p>
        </w:tc>
        <w:tc>
          <w:tcPr>
            <w:tcW w:w="286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shd w:val="solid" w:color="FFFFFF" w:fill="auto"/>
            <w:vAlign w:val="bottom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285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6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69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 xml:space="preserve"> 174,026 </w:t>
            </w:r>
          </w:p>
        </w:tc>
        <w:tc>
          <w:tcPr>
            <w:tcW w:w="287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37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>-0.4%</w:t>
            </w:r>
          </w:p>
        </w:tc>
        <w:tc>
          <w:tcPr>
            <w:tcW w:w="281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72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87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348" w:type="dxa"/>
            <w:shd w:val="solid" w:color="FFFFFF" w:fill="auto"/>
            <w:vAlign w:val="bottom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>8,043</w:t>
            </w:r>
          </w:p>
        </w:tc>
      </w:tr>
      <w:tr w:rsidR="00B22850" w:rsidRPr="00B22850" w:rsidTr="00320A0E">
        <w:trPr>
          <w:trHeight w:val="259"/>
        </w:trPr>
        <w:tc>
          <w:tcPr>
            <w:tcW w:w="2455" w:type="dxa"/>
            <w:shd w:val="solid" w:color="FFFFFF" w:fill="auto"/>
            <w:vAlign w:val="center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>Ceredigion</w:t>
            </w:r>
          </w:p>
        </w:tc>
        <w:tc>
          <w:tcPr>
            <w:tcW w:w="286" w:type="dxa"/>
            <w:shd w:val="solid" w:color="FFFFFF" w:fill="auto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>100,819</w:t>
            </w:r>
          </w:p>
        </w:tc>
        <w:tc>
          <w:tcPr>
            <w:tcW w:w="287" w:type="dxa"/>
            <w:shd w:val="solid" w:color="FFFFFF" w:fill="auto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shd w:val="solid" w:color="FFFFFF" w:fill="auto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7" w:type="dxa"/>
            <w:shd w:val="solid" w:color="FFFFFF" w:fill="auto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shd w:val="solid" w:color="FFFFFF" w:fill="auto"/>
            <w:vAlign w:val="bottom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>101,251</w:t>
            </w:r>
          </w:p>
        </w:tc>
        <w:tc>
          <w:tcPr>
            <w:tcW w:w="286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shd w:val="solid" w:color="FFFFFF" w:fill="auto"/>
            <w:vAlign w:val="bottom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285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6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69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 xml:space="preserve"> 101,251 </w:t>
            </w:r>
          </w:p>
        </w:tc>
        <w:tc>
          <w:tcPr>
            <w:tcW w:w="287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37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>0.4%</w:t>
            </w:r>
          </w:p>
        </w:tc>
        <w:tc>
          <w:tcPr>
            <w:tcW w:w="281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72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7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348" w:type="dxa"/>
            <w:shd w:val="solid" w:color="FFFFFF" w:fill="auto"/>
            <w:vAlign w:val="bottom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>4,881</w:t>
            </w:r>
          </w:p>
        </w:tc>
      </w:tr>
      <w:tr w:rsidR="00B22850" w:rsidRPr="00B22850" w:rsidTr="00320A0E">
        <w:trPr>
          <w:trHeight w:val="259"/>
        </w:trPr>
        <w:tc>
          <w:tcPr>
            <w:tcW w:w="2455" w:type="dxa"/>
            <w:shd w:val="solid" w:color="FFFFFF" w:fill="auto"/>
            <w:vAlign w:val="center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>Pembrokeshire</w:t>
            </w:r>
          </w:p>
        </w:tc>
        <w:tc>
          <w:tcPr>
            <w:tcW w:w="286" w:type="dxa"/>
            <w:shd w:val="solid" w:color="FFFFFF" w:fill="auto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>161,314</w:t>
            </w:r>
          </w:p>
        </w:tc>
        <w:tc>
          <w:tcPr>
            <w:tcW w:w="287" w:type="dxa"/>
            <w:shd w:val="solid" w:color="FFFFFF" w:fill="auto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shd w:val="solid" w:color="FFFFFF" w:fill="auto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7" w:type="dxa"/>
            <w:shd w:val="solid" w:color="FFFFFF" w:fill="auto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shd w:val="solid" w:color="FFFFFF" w:fill="auto"/>
            <w:vAlign w:val="bottom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>161,774</w:t>
            </w:r>
          </w:p>
        </w:tc>
        <w:tc>
          <w:tcPr>
            <w:tcW w:w="286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shd w:val="solid" w:color="FFFFFF" w:fill="auto"/>
            <w:vAlign w:val="bottom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285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6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69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 xml:space="preserve"> 161,774 </w:t>
            </w:r>
          </w:p>
        </w:tc>
        <w:tc>
          <w:tcPr>
            <w:tcW w:w="287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37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>0.3%</w:t>
            </w:r>
          </w:p>
        </w:tc>
        <w:tc>
          <w:tcPr>
            <w:tcW w:w="281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72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87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348" w:type="dxa"/>
            <w:shd w:val="solid" w:color="FFFFFF" w:fill="auto"/>
            <w:vAlign w:val="bottom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>7,077</w:t>
            </w:r>
          </w:p>
        </w:tc>
      </w:tr>
      <w:tr w:rsidR="00B22850" w:rsidRPr="00B22850" w:rsidTr="00320A0E">
        <w:trPr>
          <w:trHeight w:val="259"/>
        </w:trPr>
        <w:tc>
          <w:tcPr>
            <w:tcW w:w="2455" w:type="dxa"/>
            <w:shd w:val="solid" w:color="FFFFFF" w:fill="auto"/>
            <w:vAlign w:val="center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>Carmarthenshire</w:t>
            </w:r>
          </w:p>
        </w:tc>
        <w:tc>
          <w:tcPr>
            <w:tcW w:w="286" w:type="dxa"/>
            <w:shd w:val="solid" w:color="FFFFFF" w:fill="auto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>258,819</w:t>
            </w:r>
          </w:p>
        </w:tc>
        <w:tc>
          <w:tcPr>
            <w:tcW w:w="287" w:type="dxa"/>
            <w:shd w:val="solid" w:color="FFFFFF" w:fill="auto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shd w:val="solid" w:color="FFFFFF" w:fill="auto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7" w:type="dxa"/>
            <w:shd w:val="solid" w:color="FFFFFF" w:fill="auto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shd w:val="solid" w:color="FFFFFF" w:fill="auto"/>
            <w:vAlign w:val="bottom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>259,440</w:t>
            </w:r>
          </w:p>
        </w:tc>
        <w:tc>
          <w:tcPr>
            <w:tcW w:w="286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shd w:val="solid" w:color="FFFFFF" w:fill="auto"/>
            <w:vAlign w:val="bottom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285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6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69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 xml:space="preserve"> 259,440 </w:t>
            </w:r>
          </w:p>
        </w:tc>
        <w:tc>
          <w:tcPr>
            <w:tcW w:w="287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37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>0.2%</w:t>
            </w:r>
          </w:p>
        </w:tc>
        <w:tc>
          <w:tcPr>
            <w:tcW w:w="281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72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87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348" w:type="dxa"/>
            <w:shd w:val="solid" w:color="FFFFFF" w:fill="auto"/>
            <w:vAlign w:val="bottom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>14,249</w:t>
            </w:r>
          </w:p>
        </w:tc>
      </w:tr>
      <w:tr w:rsidR="00B22850" w:rsidRPr="00B22850" w:rsidTr="00320A0E">
        <w:trPr>
          <w:trHeight w:val="259"/>
        </w:trPr>
        <w:tc>
          <w:tcPr>
            <w:tcW w:w="2455" w:type="dxa"/>
            <w:shd w:val="solid" w:color="FFFFFF" w:fill="auto"/>
            <w:vAlign w:val="center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>Swansea</w:t>
            </w:r>
          </w:p>
        </w:tc>
        <w:tc>
          <w:tcPr>
            <w:tcW w:w="286" w:type="dxa"/>
            <w:shd w:val="solid" w:color="FFFFFF" w:fill="auto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>317,122</w:t>
            </w:r>
          </w:p>
        </w:tc>
        <w:tc>
          <w:tcPr>
            <w:tcW w:w="287" w:type="dxa"/>
            <w:shd w:val="solid" w:color="FFFFFF" w:fill="auto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shd w:val="solid" w:color="FFFFFF" w:fill="auto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7" w:type="dxa"/>
            <w:shd w:val="solid" w:color="FFFFFF" w:fill="auto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shd w:val="solid" w:color="FFFFFF" w:fill="auto"/>
            <w:vAlign w:val="bottom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>319,087</w:t>
            </w:r>
          </w:p>
        </w:tc>
        <w:tc>
          <w:tcPr>
            <w:tcW w:w="286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shd w:val="solid" w:color="FFFFFF" w:fill="auto"/>
            <w:vAlign w:val="bottom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285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6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69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 xml:space="preserve"> 319,087 </w:t>
            </w:r>
          </w:p>
        </w:tc>
        <w:tc>
          <w:tcPr>
            <w:tcW w:w="287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37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>0.6%</w:t>
            </w:r>
          </w:p>
        </w:tc>
        <w:tc>
          <w:tcPr>
            <w:tcW w:w="281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72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7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348" w:type="dxa"/>
            <w:shd w:val="solid" w:color="FFFFFF" w:fill="auto"/>
            <w:vAlign w:val="bottom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>19,180</w:t>
            </w:r>
          </w:p>
        </w:tc>
      </w:tr>
      <w:tr w:rsidR="00B22850" w:rsidRPr="00B22850" w:rsidTr="00320A0E">
        <w:trPr>
          <w:trHeight w:val="259"/>
        </w:trPr>
        <w:tc>
          <w:tcPr>
            <w:tcW w:w="2455" w:type="dxa"/>
            <w:shd w:val="solid" w:color="FFFFFF" w:fill="auto"/>
            <w:vAlign w:val="center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>Neath Port Talbot</w:t>
            </w:r>
          </w:p>
        </w:tc>
        <w:tc>
          <w:tcPr>
            <w:tcW w:w="286" w:type="dxa"/>
            <w:shd w:val="solid" w:color="FFFFFF" w:fill="auto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>211,838</w:t>
            </w:r>
          </w:p>
        </w:tc>
        <w:tc>
          <w:tcPr>
            <w:tcW w:w="287" w:type="dxa"/>
            <w:shd w:val="solid" w:color="FFFFFF" w:fill="auto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shd w:val="solid" w:color="FFFFFF" w:fill="auto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7" w:type="dxa"/>
            <w:shd w:val="solid" w:color="FFFFFF" w:fill="auto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shd w:val="solid" w:color="FFFFFF" w:fill="auto"/>
            <w:vAlign w:val="bottom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>212,341</w:t>
            </w:r>
          </w:p>
        </w:tc>
        <w:tc>
          <w:tcPr>
            <w:tcW w:w="286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shd w:val="solid" w:color="FFFFFF" w:fill="auto"/>
            <w:vAlign w:val="bottom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285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6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69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 xml:space="preserve"> 212,341 </w:t>
            </w:r>
          </w:p>
        </w:tc>
        <w:tc>
          <w:tcPr>
            <w:tcW w:w="287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37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>0.2%</w:t>
            </w:r>
          </w:p>
        </w:tc>
        <w:tc>
          <w:tcPr>
            <w:tcW w:w="281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72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87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348" w:type="dxa"/>
            <w:shd w:val="solid" w:color="FFFFFF" w:fill="auto"/>
            <w:vAlign w:val="bottom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>16,300</w:t>
            </w:r>
          </w:p>
        </w:tc>
      </w:tr>
      <w:tr w:rsidR="00B22850" w:rsidRPr="00B22850" w:rsidTr="00320A0E">
        <w:trPr>
          <w:trHeight w:val="259"/>
        </w:trPr>
        <w:tc>
          <w:tcPr>
            <w:tcW w:w="2455" w:type="dxa"/>
            <w:shd w:val="solid" w:color="FFFFFF" w:fill="auto"/>
            <w:vAlign w:val="center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>Bridgend</w:t>
            </w:r>
          </w:p>
        </w:tc>
        <w:tc>
          <w:tcPr>
            <w:tcW w:w="286" w:type="dxa"/>
            <w:shd w:val="solid" w:color="FFFFFF" w:fill="auto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>191,467</w:t>
            </w:r>
          </w:p>
        </w:tc>
        <w:tc>
          <w:tcPr>
            <w:tcW w:w="287" w:type="dxa"/>
            <w:shd w:val="solid" w:color="FFFFFF" w:fill="auto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shd w:val="solid" w:color="FFFFFF" w:fill="auto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7" w:type="dxa"/>
            <w:shd w:val="solid" w:color="FFFFFF" w:fill="auto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shd w:val="solid" w:color="FFFFFF" w:fill="auto"/>
            <w:vAlign w:val="bottom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>191,582</w:t>
            </w:r>
          </w:p>
        </w:tc>
        <w:tc>
          <w:tcPr>
            <w:tcW w:w="286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shd w:val="solid" w:color="FFFFFF" w:fill="auto"/>
            <w:vAlign w:val="bottom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285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6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69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 xml:space="preserve"> 191,582 </w:t>
            </w:r>
          </w:p>
        </w:tc>
        <w:tc>
          <w:tcPr>
            <w:tcW w:w="287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37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>0.1%</w:t>
            </w:r>
          </w:p>
        </w:tc>
        <w:tc>
          <w:tcPr>
            <w:tcW w:w="281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72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87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348" w:type="dxa"/>
            <w:shd w:val="solid" w:color="FFFFFF" w:fill="auto"/>
            <w:vAlign w:val="bottom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>12,907</w:t>
            </w:r>
          </w:p>
        </w:tc>
      </w:tr>
      <w:tr w:rsidR="00B22850" w:rsidRPr="00B22850" w:rsidTr="00320A0E">
        <w:trPr>
          <w:trHeight w:val="259"/>
        </w:trPr>
        <w:tc>
          <w:tcPr>
            <w:tcW w:w="2455" w:type="dxa"/>
            <w:shd w:val="solid" w:color="FFFFFF" w:fill="auto"/>
            <w:vAlign w:val="center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>The Vale Of Glamorgan</w:t>
            </w:r>
          </w:p>
        </w:tc>
        <w:tc>
          <w:tcPr>
            <w:tcW w:w="286" w:type="dxa"/>
            <w:shd w:val="solid" w:color="FFFFFF" w:fill="auto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>152,114</w:t>
            </w:r>
          </w:p>
        </w:tc>
        <w:tc>
          <w:tcPr>
            <w:tcW w:w="287" w:type="dxa"/>
            <w:shd w:val="solid" w:color="FFFFFF" w:fill="auto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shd w:val="solid" w:color="FFFFFF" w:fill="auto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7" w:type="dxa"/>
            <w:shd w:val="solid" w:color="FFFFFF" w:fill="auto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shd w:val="solid" w:color="FFFFFF" w:fill="auto"/>
            <w:vAlign w:val="bottom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>152,480</w:t>
            </w:r>
          </w:p>
        </w:tc>
        <w:tc>
          <w:tcPr>
            <w:tcW w:w="286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shd w:val="solid" w:color="FFFFFF" w:fill="auto"/>
            <w:vAlign w:val="bottom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285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6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69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 xml:space="preserve"> 152,480 </w:t>
            </w:r>
          </w:p>
        </w:tc>
        <w:tc>
          <w:tcPr>
            <w:tcW w:w="287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37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>0.2%</w:t>
            </w:r>
          </w:p>
        </w:tc>
        <w:tc>
          <w:tcPr>
            <w:tcW w:w="281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72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7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348" w:type="dxa"/>
            <w:shd w:val="solid" w:color="FFFFFF" w:fill="auto"/>
            <w:vAlign w:val="bottom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>9,063</w:t>
            </w:r>
          </w:p>
        </w:tc>
      </w:tr>
      <w:tr w:rsidR="00B22850" w:rsidRPr="00B22850" w:rsidTr="00320A0E">
        <w:trPr>
          <w:trHeight w:val="259"/>
        </w:trPr>
        <w:tc>
          <w:tcPr>
            <w:tcW w:w="2455" w:type="dxa"/>
            <w:shd w:val="solid" w:color="FFFFFF" w:fill="auto"/>
            <w:vAlign w:val="center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>Rhondda Cynon Taf</w:t>
            </w:r>
          </w:p>
        </w:tc>
        <w:tc>
          <w:tcPr>
            <w:tcW w:w="286" w:type="dxa"/>
            <w:shd w:val="solid" w:color="FFFFFF" w:fill="auto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>362,319</w:t>
            </w:r>
          </w:p>
        </w:tc>
        <w:tc>
          <w:tcPr>
            <w:tcW w:w="287" w:type="dxa"/>
            <w:shd w:val="solid" w:color="FFFFFF" w:fill="auto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shd w:val="solid" w:color="FFFFFF" w:fill="auto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7" w:type="dxa"/>
            <w:shd w:val="solid" w:color="FFFFFF" w:fill="auto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shd w:val="solid" w:color="FFFFFF" w:fill="auto"/>
            <w:vAlign w:val="bottom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>364,176</w:t>
            </w:r>
          </w:p>
        </w:tc>
        <w:tc>
          <w:tcPr>
            <w:tcW w:w="286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shd w:val="solid" w:color="FFFFFF" w:fill="auto"/>
            <w:vAlign w:val="bottom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285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6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69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 xml:space="preserve"> 364,176 </w:t>
            </w:r>
          </w:p>
        </w:tc>
        <w:tc>
          <w:tcPr>
            <w:tcW w:w="287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37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>0.5%</w:t>
            </w:r>
          </w:p>
        </w:tc>
        <w:tc>
          <w:tcPr>
            <w:tcW w:w="281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72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7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348" w:type="dxa"/>
            <w:shd w:val="solid" w:color="FFFFFF" w:fill="auto"/>
            <w:vAlign w:val="bottom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>21,772</w:t>
            </w:r>
          </w:p>
        </w:tc>
      </w:tr>
      <w:tr w:rsidR="00B22850" w:rsidRPr="00B22850" w:rsidTr="00320A0E">
        <w:trPr>
          <w:trHeight w:val="259"/>
        </w:trPr>
        <w:tc>
          <w:tcPr>
            <w:tcW w:w="2455" w:type="dxa"/>
            <w:shd w:val="solid" w:color="FFFFFF" w:fill="auto"/>
            <w:vAlign w:val="center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>Merthyr Tydfil</w:t>
            </w:r>
          </w:p>
        </w:tc>
        <w:tc>
          <w:tcPr>
            <w:tcW w:w="286" w:type="dxa"/>
            <w:shd w:val="solid" w:color="FFFFFF" w:fill="auto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>90,635</w:t>
            </w:r>
          </w:p>
        </w:tc>
        <w:tc>
          <w:tcPr>
            <w:tcW w:w="287" w:type="dxa"/>
            <w:shd w:val="solid" w:color="FFFFFF" w:fill="auto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shd w:val="solid" w:color="FFFFFF" w:fill="auto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>391</w:t>
            </w:r>
          </w:p>
        </w:tc>
        <w:tc>
          <w:tcPr>
            <w:tcW w:w="287" w:type="dxa"/>
            <w:shd w:val="solid" w:color="FFFFFF" w:fill="auto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shd w:val="solid" w:color="FFFFFF" w:fill="auto"/>
            <w:vAlign w:val="bottom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>90,305</w:t>
            </w:r>
          </w:p>
        </w:tc>
        <w:tc>
          <w:tcPr>
            <w:tcW w:w="286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shd w:val="solid" w:color="FFFFFF" w:fill="auto"/>
            <w:vAlign w:val="bottom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285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6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69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 xml:space="preserve"> 90,305 </w:t>
            </w:r>
          </w:p>
        </w:tc>
        <w:tc>
          <w:tcPr>
            <w:tcW w:w="287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37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>-0.4%</w:t>
            </w:r>
          </w:p>
        </w:tc>
        <w:tc>
          <w:tcPr>
            <w:tcW w:w="281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72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87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348" w:type="dxa"/>
            <w:shd w:val="solid" w:color="FFFFFF" w:fill="auto"/>
            <w:vAlign w:val="bottom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>5,643</w:t>
            </w:r>
          </w:p>
        </w:tc>
      </w:tr>
      <w:tr w:rsidR="00B22850" w:rsidRPr="00B22850" w:rsidTr="00320A0E">
        <w:trPr>
          <w:trHeight w:val="259"/>
        </w:trPr>
        <w:tc>
          <w:tcPr>
            <w:tcW w:w="2455" w:type="dxa"/>
            <w:shd w:val="solid" w:color="FFFFFF" w:fill="auto"/>
            <w:vAlign w:val="center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>Caerphilly</w:t>
            </w:r>
          </w:p>
        </w:tc>
        <w:tc>
          <w:tcPr>
            <w:tcW w:w="286" w:type="dxa"/>
            <w:shd w:val="solid" w:color="FFFFFF" w:fill="auto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>268,248</w:t>
            </w:r>
          </w:p>
        </w:tc>
        <w:tc>
          <w:tcPr>
            <w:tcW w:w="287" w:type="dxa"/>
            <w:shd w:val="solid" w:color="FFFFFF" w:fill="auto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shd w:val="solid" w:color="FFFFFF" w:fill="auto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7" w:type="dxa"/>
            <w:shd w:val="solid" w:color="FFFFFF" w:fill="auto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shd w:val="solid" w:color="FFFFFF" w:fill="auto"/>
            <w:vAlign w:val="bottom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>267,240</w:t>
            </w:r>
          </w:p>
        </w:tc>
        <w:tc>
          <w:tcPr>
            <w:tcW w:w="286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shd w:val="solid" w:color="FFFFFF" w:fill="auto"/>
            <w:vAlign w:val="bottom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285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6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69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 xml:space="preserve"> 267,240 </w:t>
            </w:r>
          </w:p>
        </w:tc>
        <w:tc>
          <w:tcPr>
            <w:tcW w:w="287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37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>-0.4%</w:t>
            </w:r>
          </w:p>
        </w:tc>
        <w:tc>
          <w:tcPr>
            <w:tcW w:w="281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72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87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348" w:type="dxa"/>
            <w:shd w:val="solid" w:color="FFFFFF" w:fill="auto"/>
            <w:vAlign w:val="bottom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>13,302</w:t>
            </w:r>
          </w:p>
        </w:tc>
      </w:tr>
      <w:tr w:rsidR="00B22850" w:rsidRPr="00B22850" w:rsidTr="00320A0E">
        <w:trPr>
          <w:trHeight w:val="259"/>
        </w:trPr>
        <w:tc>
          <w:tcPr>
            <w:tcW w:w="2455" w:type="dxa"/>
            <w:shd w:val="solid" w:color="FFFFFF" w:fill="auto"/>
            <w:vAlign w:val="center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>Blaenau Gwent</w:t>
            </w:r>
          </w:p>
        </w:tc>
        <w:tc>
          <w:tcPr>
            <w:tcW w:w="286" w:type="dxa"/>
            <w:shd w:val="solid" w:color="FFFFFF" w:fill="auto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>110,905</w:t>
            </w:r>
          </w:p>
        </w:tc>
        <w:tc>
          <w:tcPr>
            <w:tcW w:w="287" w:type="dxa"/>
            <w:shd w:val="solid" w:color="FFFFFF" w:fill="auto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shd w:val="solid" w:color="FFFFFF" w:fill="auto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7" w:type="dxa"/>
            <w:shd w:val="solid" w:color="FFFFFF" w:fill="auto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shd w:val="solid" w:color="FFFFFF" w:fill="auto"/>
            <w:vAlign w:val="bottom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>109,633</w:t>
            </w:r>
          </w:p>
        </w:tc>
        <w:tc>
          <w:tcPr>
            <w:tcW w:w="286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shd w:val="solid" w:color="FFFFFF" w:fill="auto"/>
            <w:vAlign w:val="bottom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2850">
              <w:rPr>
                <w:rFonts w:ascii="Arial" w:hAnsi="Arial" w:cs="Arial"/>
                <w:color w:val="000000"/>
                <w:sz w:val="20"/>
                <w:szCs w:val="20"/>
              </w:rPr>
              <w:t>717</w:t>
            </w:r>
          </w:p>
        </w:tc>
        <w:tc>
          <w:tcPr>
            <w:tcW w:w="286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69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 xml:space="preserve"> 110,351 </w:t>
            </w:r>
          </w:p>
        </w:tc>
        <w:tc>
          <w:tcPr>
            <w:tcW w:w="287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37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>-0.5%</w:t>
            </w:r>
          </w:p>
        </w:tc>
        <w:tc>
          <w:tcPr>
            <w:tcW w:w="281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72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87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348" w:type="dxa"/>
            <w:shd w:val="solid" w:color="FFFFFF" w:fill="auto"/>
            <w:vAlign w:val="bottom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>8,261</w:t>
            </w:r>
          </w:p>
        </w:tc>
      </w:tr>
      <w:tr w:rsidR="00B22850" w:rsidRPr="00B22850" w:rsidTr="00320A0E">
        <w:trPr>
          <w:trHeight w:val="259"/>
        </w:trPr>
        <w:tc>
          <w:tcPr>
            <w:tcW w:w="2455" w:type="dxa"/>
            <w:shd w:val="solid" w:color="FFFFFF" w:fill="auto"/>
            <w:vAlign w:val="center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>Torfaen</w:t>
            </w:r>
          </w:p>
        </w:tc>
        <w:tc>
          <w:tcPr>
            <w:tcW w:w="286" w:type="dxa"/>
            <w:shd w:val="solid" w:color="FFFFFF" w:fill="auto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>131,652</w:t>
            </w:r>
          </w:p>
        </w:tc>
        <w:tc>
          <w:tcPr>
            <w:tcW w:w="287" w:type="dxa"/>
            <w:shd w:val="solid" w:color="FFFFFF" w:fill="auto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shd w:val="solid" w:color="FFFFFF" w:fill="auto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7" w:type="dxa"/>
            <w:shd w:val="solid" w:color="FFFFFF" w:fill="auto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shd w:val="solid" w:color="FFFFFF" w:fill="auto"/>
            <w:vAlign w:val="bottom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>131,543</w:t>
            </w:r>
          </w:p>
        </w:tc>
        <w:tc>
          <w:tcPr>
            <w:tcW w:w="286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shd w:val="solid" w:color="FFFFFF" w:fill="auto"/>
            <w:vAlign w:val="bottom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285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6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69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 xml:space="preserve"> 131,543 </w:t>
            </w:r>
          </w:p>
        </w:tc>
        <w:tc>
          <w:tcPr>
            <w:tcW w:w="287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37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>-0.1%</w:t>
            </w:r>
          </w:p>
        </w:tc>
        <w:tc>
          <w:tcPr>
            <w:tcW w:w="281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72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87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348" w:type="dxa"/>
            <w:shd w:val="solid" w:color="FFFFFF" w:fill="auto"/>
            <w:vAlign w:val="bottom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>7,996</w:t>
            </w:r>
          </w:p>
        </w:tc>
      </w:tr>
      <w:tr w:rsidR="00B22850" w:rsidRPr="00B22850" w:rsidTr="00320A0E">
        <w:trPr>
          <w:trHeight w:val="259"/>
        </w:trPr>
        <w:tc>
          <w:tcPr>
            <w:tcW w:w="2455" w:type="dxa"/>
            <w:shd w:val="solid" w:color="FFFFFF" w:fill="auto"/>
            <w:vAlign w:val="center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>Monmouthshire</w:t>
            </w:r>
          </w:p>
        </w:tc>
        <w:tc>
          <w:tcPr>
            <w:tcW w:w="286" w:type="dxa"/>
            <w:shd w:val="solid" w:color="FFFFFF" w:fill="auto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>93,737</w:t>
            </w:r>
          </w:p>
        </w:tc>
        <w:tc>
          <w:tcPr>
            <w:tcW w:w="287" w:type="dxa"/>
            <w:shd w:val="solid" w:color="FFFFFF" w:fill="auto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shd w:val="solid" w:color="FFFFFF" w:fill="auto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7" w:type="dxa"/>
            <w:shd w:val="solid" w:color="FFFFFF" w:fill="auto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shd w:val="solid" w:color="FFFFFF" w:fill="auto"/>
            <w:vAlign w:val="bottom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>93,218</w:t>
            </w:r>
          </w:p>
        </w:tc>
        <w:tc>
          <w:tcPr>
            <w:tcW w:w="286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shd w:val="solid" w:color="FFFFFF" w:fill="auto"/>
            <w:vAlign w:val="bottom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2850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86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69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 xml:space="preserve"> 93,268 </w:t>
            </w:r>
          </w:p>
        </w:tc>
        <w:tc>
          <w:tcPr>
            <w:tcW w:w="287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37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>-0.5%</w:t>
            </w:r>
          </w:p>
        </w:tc>
        <w:tc>
          <w:tcPr>
            <w:tcW w:w="281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72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87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348" w:type="dxa"/>
            <w:shd w:val="solid" w:color="FFFFFF" w:fill="auto"/>
            <w:vAlign w:val="bottom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>5,649</w:t>
            </w:r>
          </w:p>
        </w:tc>
      </w:tr>
      <w:tr w:rsidR="00B22850" w:rsidRPr="00B22850" w:rsidTr="00320A0E">
        <w:trPr>
          <w:trHeight w:val="259"/>
        </w:trPr>
        <w:tc>
          <w:tcPr>
            <w:tcW w:w="2455" w:type="dxa"/>
            <w:shd w:val="solid" w:color="FFFFFF" w:fill="auto"/>
            <w:vAlign w:val="center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>Newport</w:t>
            </w:r>
          </w:p>
        </w:tc>
        <w:tc>
          <w:tcPr>
            <w:tcW w:w="286" w:type="dxa"/>
            <w:shd w:val="solid" w:color="FFFFFF" w:fill="auto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>211,954</w:t>
            </w:r>
          </w:p>
        </w:tc>
        <w:tc>
          <w:tcPr>
            <w:tcW w:w="287" w:type="dxa"/>
            <w:shd w:val="solid" w:color="FFFFFF" w:fill="auto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shd w:val="solid" w:color="FFFFFF" w:fill="auto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7" w:type="dxa"/>
            <w:shd w:val="solid" w:color="FFFFFF" w:fill="auto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shd w:val="solid" w:color="FFFFFF" w:fill="auto"/>
            <w:vAlign w:val="bottom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>212,790</w:t>
            </w:r>
          </w:p>
        </w:tc>
        <w:tc>
          <w:tcPr>
            <w:tcW w:w="286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shd w:val="solid" w:color="FFFFFF" w:fill="auto"/>
            <w:vAlign w:val="bottom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285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6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69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 xml:space="preserve"> 212,790 </w:t>
            </w:r>
          </w:p>
        </w:tc>
        <w:tc>
          <w:tcPr>
            <w:tcW w:w="287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37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>0.4%</w:t>
            </w:r>
          </w:p>
        </w:tc>
        <w:tc>
          <w:tcPr>
            <w:tcW w:w="281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72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7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348" w:type="dxa"/>
            <w:shd w:val="solid" w:color="FFFFFF" w:fill="auto"/>
            <w:vAlign w:val="bottom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>10,362</w:t>
            </w:r>
          </w:p>
        </w:tc>
      </w:tr>
      <w:tr w:rsidR="00B22850" w:rsidRPr="00B22850" w:rsidTr="00320A0E">
        <w:trPr>
          <w:trHeight w:val="259"/>
        </w:trPr>
        <w:tc>
          <w:tcPr>
            <w:tcW w:w="2455" w:type="dxa"/>
            <w:tcBorders>
              <w:bottom w:val="single" w:sz="4" w:space="0" w:color="auto"/>
            </w:tcBorders>
            <w:shd w:val="solid" w:color="FFFFFF" w:fill="auto"/>
            <w:vAlign w:val="center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>Cardiff</w:t>
            </w:r>
          </w:p>
        </w:tc>
        <w:tc>
          <w:tcPr>
            <w:tcW w:w="286" w:type="dxa"/>
            <w:shd w:val="solid" w:color="FFFFFF" w:fill="auto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>437,048</w:t>
            </w:r>
          </w:p>
        </w:tc>
        <w:tc>
          <w:tcPr>
            <w:tcW w:w="287" w:type="dxa"/>
            <w:shd w:val="solid" w:color="FFFFFF" w:fill="auto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solid" w:color="FFFFFF" w:fill="auto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7" w:type="dxa"/>
            <w:shd w:val="solid" w:color="FFFFFF" w:fill="auto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  <w:shd w:val="solid" w:color="FFFFFF" w:fill="auto"/>
            <w:vAlign w:val="bottom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>440,947</w:t>
            </w:r>
          </w:p>
        </w:tc>
        <w:tc>
          <w:tcPr>
            <w:tcW w:w="286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  <w:shd w:val="solid" w:color="FFFFFF" w:fill="auto"/>
            <w:vAlign w:val="bottom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285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6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 xml:space="preserve"> 440,947 </w:t>
            </w:r>
          </w:p>
        </w:tc>
        <w:tc>
          <w:tcPr>
            <w:tcW w:w="287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>0.9%</w:t>
            </w:r>
          </w:p>
        </w:tc>
        <w:tc>
          <w:tcPr>
            <w:tcW w:w="281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7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  <w:shd w:val="solid" w:color="FFFFFF" w:fill="auto"/>
            <w:vAlign w:val="bottom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>27,619</w:t>
            </w:r>
          </w:p>
        </w:tc>
      </w:tr>
      <w:tr w:rsidR="00B22850" w:rsidRPr="00B22850" w:rsidTr="00320A0E">
        <w:trPr>
          <w:trHeight w:val="79"/>
        </w:trPr>
        <w:tc>
          <w:tcPr>
            <w:tcW w:w="2455" w:type="dxa"/>
            <w:tcBorders>
              <w:top w:val="single" w:sz="4" w:space="0" w:color="auto"/>
            </w:tcBorders>
            <w:shd w:val="solid" w:color="FFFFFF" w:fill="auto"/>
            <w:vAlign w:val="center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shd w:val="solid" w:color="FFFFFF" w:fill="auto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solid" w:color="FFFFFF" w:fill="auto"/>
            <w:vAlign w:val="center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shd w:val="solid" w:color="FFFFFF" w:fill="auto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</w:tcBorders>
            <w:shd w:val="solid" w:color="FFFFFF" w:fill="auto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shd w:val="solid" w:color="FFFFFF" w:fill="auto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</w:tcBorders>
            <w:shd w:val="solid" w:color="FFFFFF" w:fill="auto"/>
            <w:vAlign w:val="bottom"/>
          </w:tcPr>
          <w:p w:rsidR="00B22850" w:rsidRPr="00B22850" w:rsidRDefault="00B22850" w:rsidP="00320A0E">
            <w:pPr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tcBorders>
              <w:top w:val="single" w:sz="4" w:space="0" w:color="auto"/>
            </w:tcBorders>
            <w:shd w:val="solid" w:color="FFFFFF" w:fill="auto"/>
            <w:vAlign w:val="center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shd w:val="solid" w:color="FFFFFF" w:fill="auto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69" w:type="dxa"/>
            <w:tcBorders>
              <w:top w:val="single" w:sz="4" w:space="0" w:color="auto"/>
            </w:tcBorders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shd w:val="solid" w:color="FFFFFF" w:fill="auto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337" w:type="dxa"/>
            <w:tcBorders>
              <w:top w:val="single" w:sz="4" w:space="0" w:color="auto"/>
            </w:tcBorders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shd w:val="solid" w:color="FFFFFF" w:fill="auto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  <w:shd w:val="solid" w:color="FFFFFF" w:fill="auto"/>
            <w:vAlign w:val="center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87" w:type="dxa"/>
            <w:shd w:val="solid" w:color="FFFFFF" w:fill="auto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348" w:type="dxa"/>
            <w:tcBorders>
              <w:top w:val="single" w:sz="4" w:space="0" w:color="auto"/>
            </w:tcBorders>
            <w:shd w:val="solid" w:color="FFFFFF" w:fill="auto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850" w:rsidRPr="00B22850" w:rsidTr="00320A0E">
        <w:trPr>
          <w:trHeight w:val="264"/>
        </w:trPr>
        <w:tc>
          <w:tcPr>
            <w:tcW w:w="2455" w:type="dxa"/>
            <w:tcBorders>
              <w:bottom w:val="single" w:sz="4" w:space="0" w:color="auto"/>
            </w:tcBorders>
            <w:shd w:val="solid" w:color="FFFFFF" w:fill="auto"/>
            <w:vAlign w:val="center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2850">
              <w:rPr>
                <w:rFonts w:ascii="Arial" w:hAnsi="Arial" w:cs="Arial"/>
                <w:b/>
                <w:bCs/>
                <w:sz w:val="20"/>
                <w:szCs w:val="20"/>
              </w:rPr>
              <w:t>All Unitary Authorities</w:t>
            </w:r>
          </w:p>
        </w:tc>
        <w:tc>
          <w:tcPr>
            <w:tcW w:w="286" w:type="dxa"/>
            <w:tcBorders>
              <w:bottom w:val="single" w:sz="4" w:space="0" w:color="auto"/>
            </w:tcBorders>
            <w:shd w:val="solid" w:color="FFFFFF" w:fill="auto"/>
            <w:vAlign w:val="center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  <w:shd w:val="solid" w:color="FFFFFF" w:fill="auto"/>
            <w:vAlign w:val="center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22850">
              <w:rPr>
                <w:rFonts w:ascii="Arial" w:hAnsi="Arial" w:cs="Arial"/>
                <w:b/>
                <w:sz w:val="20"/>
                <w:szCs w:val="20"/>
              </w:rPr>
              <w:t>4,205,337</w:t>
            </w:r>
          </w:p>
        </w:tc>
        <w:tc>
          <w:tcPr>
            <w:tcW w:w="287" w:type="dxa"/>
            <w:tcBorders>
              <w:bottom w:val="single" w:sz="4" w:space="0" w:color="auto"/>
            </w:tcBorders>
            <w:shd w:val="solid" w:color="FFFFFF" w:fill="auto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solid" w:color="FFFFFF" w:fill="auto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2850">
              <w:rPr>
                <w:rFonts w:ascii="Arial" w:hAnsi="Arial" w:cs="Arial"/>
                <w:b/>
                <w:bCs/>
                <w:sz w:val="20"/>
                <w:szCs w:val="20"/>
              </w:rPr>
              <w:t>1,628</w:t>
            </w:r>
          </w:p>
        </w:tc>
        <w:tc>
          <w:tcPr>
            <w:tcW w:w="287" w:type="dxa"/>
            <w:tcBorders>
              <w:bottom w:val="single" w:sz="4" w:space="0" w:color="auto"/>
            </w:tcBorders>
            <w:shd w:val="solid" w:color="FFFFFF" w:fill="auto"/>
            <w:vAlign w:val="center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  <w:shd w:val="solid" w:color="FFFFFF" w:fill="auto"/>
            <w:vAlign w:val="bottom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2850">
              <w:rPr>
                <w:rFonts w:ascii="Arial" w:hAnsi="Arial" w:cs="Arial"/>
                <w:b/>
                <w:bCs/>
                <w:sz w:val="20"/>
                <w:szCs w:val="20"/>
              </w:rPr>
              <w:t>4,213,260</w:t>
            </w:r>
          </w:p>
        </w:tc>
        <w:tc>
          <w:tcPr>
            <w:tcW w:w="286" w:type="dxa"/>
            <w:tcBorders>
              <w:bottom w:val="single" w:sz="4" w:space="0" w:color="auto"/>
            </w:tcBorders>
            <w:shd w:val="solid" w:color="FFFFFF" w:fill="auto"/>
            <w:vAlign w:val="center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  <w:shd w:val="solid" w:color="FFFFFF" w:fill="auto"/>
            <w:vAlign w:val="center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2850">
              <w:rPr>
                <w:rFonts w:ascii="Arial" w:hAnsi="Arial" w:cs="Arial"/>
                <w:b/>
                <w:bCs/>
                <w:sz w:val="20"/>
                <w:szCs w:val="20"/>
              </w:rPr>
              <w:t>807</w:t>
            </w:r>
          </w:p>
        </w:tc>
        <w:tc>
          <w:tcPr>
            <w:tcW w:w="286" w:type="dxa"/>
            <w:tcBorders>
              <w:bottom w:val="single" w:sz="4" w:space="0" w:color="auto"/>
            </w:tcBorders>
            <w:shd w:val="solid" w:color="FFFFFF" w:fill="auto"/>
            <w:vAlign w:val="center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22850">
              <w:rPr>
                <w:rFonts w:ascii="Arial" w:hAnsi="Arial" w:cs="Arial"/>
                <w:b/>
                <w:sz w:val="20"/>
                <w:szCs w:val="20"/>
              </w:rPr>
              <w:t xml:space="preserve"> 4,214,067 </w:t>
            </w:r>
          </w:p>
        </w:tc>
        <w:tc>
          <w:tcPr>
            <w:tcW w:w="287" w:type="dxa"/>
            <w:tcBorders>
              <w:bottom w:val="single" w:sz="4" w:space="0" w:color="auto"/>
            </w:tcBorders>
            <w:shd w:val="solid" w:color="FFFFFF" w:fill="auto"/>
            <w:vAlign w:val="center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  <w:shd w:val="solid" w:color="FFFFFF" w:fill="auto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22850">
              <w:rPr>
                <w:rFonts w:ascii="Arial" w:hAnsi="Arial" w:cs="Arial"/>
                <w:b/>
                <w:sz w:val="20"/>
                <w:szCs w:val="20"/>
              </w:rPr>
              <w:t>0.2%</w:t>
            </w:r>
          </w:p>
        </w:tc>
        <w:tc>
          <w:tcPr>
            <w:tcW w:w="281" w:type="dxa"/>
            <w:tcBorders>
              <w:bottom w:val="single" w:sz="4" w:space="0" w:color="auto"/>
            </w:tcBorders>
            <w:shd w:val="solid" w:color="FFFFFF" w:fill="auto"/>
            <w:vAlign w:val="center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solid" w:color="FFFFFF" w:fill="auto"/>
            <w:vAlign w:val="center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  <w:shd w:val="solid" w:color="FFFFFF" w:fill="auto"/>
            <w:vAlign w:val="center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  <w:shd w:val="solid" w:color="FFFFFF" w:fill="auto"/>
            <w:vAlign w:val="center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2850">
              <w:rPr>
                <w:rFonts w:ascii="Arial" w:hAnsi="Arial" w:cs="Arial"/>
                <w:b/>
                <w:bCs/>
                <w:sz w:val="20"/>
                <w:szCs w:val="20"/>
              </w:rPr>
              <w:t>244,000</w:t>
            </w:r>
          </w:p>
        </w:tc>
      </w:tr>
      <w:tr w:rsidR="00B22850" w:rsidRPr="00B22850" w:rsidTr="00320A0E">
        <w:trPr>
          <w:trHeight w:val="264"/>
        </w:trPr>
        <w:tc>
          <w:tcPr>
            <w:tcW w:w="2455" w:type="dxa"/>
            <w:tcBorders>
              <w:top w:val="single" w:sz="4" w:space="0" w:color="auto"/>
            </w:tcBorders>
            <w:shd w:val="solid" w:color="FFFFFF" w:fill="auto"/>
            <w:vAlign w:val="center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solid" w:color="FFFFFF" w:fill="auto"/>
            <w:vAlign w:val="center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solid" w:color="FFFFFF" w:fill="auto"/>
            <w:vAlign w:val="center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87" w:type="dxa"/>
            <w:tcBorders>
              <w:top w:val="single" w:sz="4" w:space="0" w:color="auto"/>
            </w:tcBorders>
            <w:shd w:val="solid" w:color="FFFFFF" w:fill="auto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67" w:type="dxa"/>
            <w:tcBorders>
              <w:top w:val="single" w:sz="4" w:space="0" w:color="auto"/>
            </w:tcBorders>
            <w:shd w:val="solid" w:color="FFFFFF" w:fill="auto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7" w:type="dxa"/>
            <w:tcBorders>
              <w:top w:val="single" w:sz="4" w:space="0" w:color="auto"/>
            </w:tcBorders>
            <w:shd w:val="solid" w:color="FFFFFF" w:fill="auto"/>
            <w:vAlign w:val="center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70" w:type="dxa"/>
            <w:tcBorders>
              <w:top w:val="single" w:sz="4" w:space="0" w:color="auto"/>
            </w:tcBorders>
            <w:shd w:val="solid" w:color="FFFFFF" w:fill="auto"/>
            <w:vAlign w:val="center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solid" w:color="FFFFFF" w:fill="auto"/>
            <w:vAlign w:val="center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tcBorders>
              <w:top w:val="single" w:sz="4" w:space="0" w:color="auto"/>
            </w:tcBorders>
            <w:shd w:val="solid" w:color="FFFFFF" w:fill="auto"/>
            <w:vAlign w:val="center"/>
          </w:tcPr>
          <w:p w:rsidR="00B22850" w:rsidRPr="00B22850" w:rsidRDefault="00B22850" w:rsidP="00320A0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solid" w:color="FFFFFF" w:fill="auto"/>
            <w:vAlign w:val="center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69" w:type="dxa"/>
            <w:tcBorders>
              <w:top w:val="single" w:sz="4" w:space="0" w:color="auto"/>
            </w:tcBorders>
            <w:shd w:val="solid" w:color="FFFFFF" w:fill="auto"/>
            <w:vAlign w:val="center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87" w:type="dxa"/>
            <w:tcBorders>
              <w:top w:val="single" w:sz="4" w:space="0" w:color="auto"/>
            </w:tcBorders>
            <w:shd w:val="solid" w:color="FFFFFF" w:fill="auto"/>
            <w:vAlign w:val="center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337" w:type="dxa"/>
            <w:tcBorders>
              <w:top w:val="single" w:sz="4" w:space="0" w:color="auto"/>
            </w:tcBorders>
            <w:shd w:val="solid" w:color="FFFFFF" w:fill="auto"/>
            <w:vAlign w:val="center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solid" w:color="FFFFFF" w:fill="auto"/>
            <w:vAlign w:val="center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  <w:shd w:val="solid" w:color="FFFFFF" w:fill="auto"/>
            <w:vAlign w:val="center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7" w:type="dxa"/>
            <w:tcBorders>
              <w:top w:val="single" w:sz="4" w:space="0" w:color="auto"/>
            </w:tcBorders>
            <w:shd w:val="solid" w:color="FFFFFF" w:fill="auto"/>
            <w:vAlign w:val="center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348" w:type="dxa"/>
            <w:tcBorders>
              <w:top w:val="single" w:sz="4" w:space="0" w:color="auto"/>
            </w:tcBorders>
            <w:shd w:val="solid" w:color="FFFFFF" w:fill="auto"/>
            <w:vAlign w:val="center"/>
          </w:tcPr>
          <w:p w:rsidR="00B22850" w:rsidRPr="00B22850" w:rsidRDefault="00B22850" w:rsidP="00320A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</w:tbl>
    <w:p w:rsidR="004B55D3" w:rsidRPr="004B55D3" w:rsidRDefault="004B55D3" w:rsidP="004B55D3">
      <w:pPr>
        <w:rPr>
          <w:rFonts w:ascii="Arial" w:hAnsi="Arial" w:cs="Arial"/>
          <w:sz w:val="20"/>
          <w:szCs w:val="20"/>
        </w:rPr>
      </w:pPr>
      <w:r w:rsidRPr="004B55D3">
        <w:rPr>
          <w:rFonts w:ascii="Arial" w:hAnsi="Arial" w:cs="Arial"/>
          <w:sz w:val="20"/>
          <w:szCs w:val="20"/>
        </w:rPr>
        <w:t>1.  2017-18 AEF adjusted for latest tax base, transfers of £91.</w:t>
      </w:r>
      <w:r w:rsidR="006613F0">
        <w:rPr>
          <w:rFonts w:ascii="Arial" w:hAnsi="Arial" w:cs="Arial"/>
          <w:sz w:val="20"/>
          <w:szCs w:val="20"/>
        </w:rPr>
        <w:t>7</w:t>
      </w:r>
      <w:r w:rsidRPr="004B55D3">
        <w:rPr>
          <w:rFonts w:ascii="Arial" w:hAnsi="Arial" w:cs="Arial"/>
          <w:sz w:val="20"/>
          <w:szCs w:val="20"/>
        </w:rPr>
        <w:t>m into the Settlement and inclusive of £1.6m of top-up funding provided in 2017-18.</w:t>
      </w:r>
    </w:p>
    <w:p w:rsidR="004B55D3" w:rsidRPr="004B55D3" w:rsidRDefault="004B55D3" w:rsidP="004B55D3">
      <w:pPr>
        <w:ind w:left="1134" w:hanging="1134"/>
        <w:rPr>
          <w:rFonts w:ascii="Arial" w:hAnsi="Arial" w:cs="Arial"/>
          <w:sz w:val="20"/>
          <w:szCs w:val="20"/>
        </w:rPr>
      </w:pPr>
      <w:r w:rsidRPr="004B55D3">
        <w:rPr>
          <w:rFonts w:ascii="Arial" w:hAnsi="Arial" w:cs="Arial"/>
          <w:sz w:val="20"/>
          <w:szCs w:val="20"/>
        </w:rPr>
        <w:t xml:space="preserve">2.  2018-19 </w:t>
      </w:r>
      <w:r w:rsidR="006613F0">
        <w:rPr>
          <w:rFonts w:ascii="Arial" w:hAnsi="Arial" w:cs="Arial"/>
          <w:sz w:val="20"/>
          <w:szCs w:val="20"/>
        </w:rPr>
        <w:t>Final</w:t>
      </w:r>
      <w:r w:rsidR="006613F0" w:rsidRPr="004B55D3">
        <w:rPr>
          <w:rFonts w:ascii="Arial" w:hAnsi="Arial" w:cs="Arial"/>
          <w:sz w:val="20"/>
          <w:szCs w:val="20"/>
        </w:rPr>
        <w:t xml:space="preserve"> </w:t>
      </w:r>
      <w:r w:rsidRPr="004B55D3">
        <w:rPr>
          <w:rFonts w:ascii="Arial" w:hAnsi="Arial" w:cs="Arial"/>
          <w:sz w:val="20"/>
          <w:szCs w:val="20"/>
        </w:rPr>
        <w:t>AEF including £</w:t>
      </w:r>
      <w:r w:rsidR="006613F0">
        <w:rPr>
          <w:rFonts w:ascii="Arial" w:hAnsi="Arial" w:cs="Arial"/>
          <w:sz w:val="20"/>
          <w:szCs w:val="20"/>
        </w:rPr>
        <w:t xml:space="preserve">807 thousand </w:t>
      </w:r>
      <w:r w:rsidRPr="004B55D3">
        <w:rPr>
          <w:rFonts w:ascii="Arial" w:hAnsi="Arial" w:cs="Arial"/>
          <w:sz w:val="20"/>
          <w:szCs w:val="20"/>
        </w:rPr>
        <w:t>top-up funding.</w:t>
      </w:r>
    </w:p>
    <w:p w:rsidR="00666CC1" w:rsidRPr="004C686D" w:rsidRDefault="00666CC1" w:rsidP="004B55D3">
      <w:pPr>
        <w:pStyle w:val="Default"/>
        <w:rPr>
          <w:sz w:val="20"/>
          <w:szCs w:val="20"/>
        </w:rPr>
      </w:pPr>
    </w:p>
    <w:sectPr w:rsidR="00666CC1" w:rsidRPr="004C686D" w:rsidSect="00CB7273">
      <w:pgSz w:w="16838" w:h="11906" w:orient="landscape" w:code="9"/>
      <w:pgMar w:top="1134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60E" w:rsidRDefault="00EF460E" w:rsidP="00440476">
      <w:r>
        <w:separator/>
      </w:r>
    </w:p>
  </w:endnote>
  <w:endnote w:type="continuationSeparator" w:id="0">
    <w:p w:rsidR="00EF460E" w:rsidRDefault="00EF460E" w:rsidP="0044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476" w:rsidRPr="00436D75" w:rsidRDefault="00440476" w:rsidP="00436D75">
    <w:pPr>
      <w:pStyle w:val="Footer"/>
      <w:jc w:val="center"/>
      <w:rPr>
        <w:rFonts w:ascii="Arial" w:hAnsi="Arial" w:cs="Arial"/>
        <w:b/>
        <w:sz w:val="20"/>
        <w:szCs w:val="20"/>
      </w:rPr>
    </w:pPr>
    <w:r w:rsidRPr="00440476">
      <w:rPr>
        <w:rFonts w:ascii="Arial" w:hAnsi="Arial" w:cs="Arial"/>
        <w:b/>
        <w:sz w:val="20"/>
        <w:szCs w:val="20"/>
      </w:rPr>
      <w:fldChar w:fldCharType="begin"/>
    </w:r>
    <w:r w:rsidRPr="00440476">
      <w:rPr>
        <w:rFonts w:ascii="Arial" w:hAnsi="Arial" w:cs="Arial"/>
        <w:b/>
        <w:sz w:val="20"/>
        <w:szCs w:val="20"/>
      </w:rPr>
      <w:instrText xml:space="preserve"> PAGE   \* MERGEFORMAT </w:instrText>
    </w:r>
    <w:r w:rsidRPr="00440476">
      <w:rPr>
        <w:rFonts w:ascii="Arial" w:hAnsi="Arial" w:cs="Arial"/>
        <w:b/>
        <w:sz w:val="20"/>
        <w:szCs w:val="20"/>
      </w:rPr>
      <w:fldChar w:fldCharType="separate"/>
    </w:r>
    <w:r w:rsidR="00097B6D">
      <w:rPr>
        <w:rFonts w:ascii="Arial" w:hAnsi="Arial" w:cs="Arial"/>
        <w:b/>
        <w:noProof/>
        <w:sz w:val="20"/>
        <w:szCs w:val="20"/>
      </w:rPr>
      <w:t>1</w:t>
    </w:r>
    <w:r w:rsidRPr="00440476">
      <w:rPr>
        <w:rFonts w:ascii="Arial" w:hAnsi="Arial" w:cs="Arial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60E" w:rsidRDefault="00EF460E" w:rsidP="00440476">
      <w:r>
        <w:separator/>
      </w:r>
    </w:p>
  </w:footnote>
  <w:footnote w:type="continuationSeparator" w:id="0">
    <w:p w:rsidR="00EF460E" w:rsidRDefault="00EF460E" w:rsidP="00440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5630E"/>
    <w:multiLevelType w:val="hybridMultilevel"/>
    <w:tmpl w:val="0860A1D8"/>
    <w:lvl w:ilvl="0" w:tplc="74A44D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B49AB"/>
    <w:multiLevelType w:val="hybridMultilevel"/>
    <w:tmpl w:val="AD96C5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823CC6"/>
    <w:multiLevelType w:val="hybridMultilevel"/>
    <w:tmpl w:val="E8602E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6F5984"/>
    <w:multiLevelType w:val="hybridMultilevel"/>
    <w:tmpl w:val="D4E84B00"/>
    <w:lvl w:ilvl="0" w:tplc="EBC47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ED6397"/>
    <w:multiLevelType w:val="hybridMultilevel"/>
    <w:tmpl w:val="A4141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A13F8A"/>
    <w:multiLevelType w:val="hybridMultilevel"/>
    <w:tmpl w:val="865E2D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CC1"/>
    <w:rsid w:val="00001E87"/>
    <w:rsid w:val="000023A1"/>
    <w:rsid w:val="00002834"/>
    <w:rsid w:val="00006ED5"/>
    <w:rsid w:val="000072DD"/>
    <w:rsid w:val="00014CA7"/>
    <w:rsid w:val="00016B64"/>
    <w:rsid w:val="000177E1"/>
    <w:rsid w:val="00017953"/>
    <w:rsid w:val="0002061C"/>
    <w:rsid w:val="0002625B"/>
    <w:rsid w:val="000267D5"/>
    <w:rsid w:val="00027D0A"/>
    <w:rsid w:val="00032808"/>
    <w:rsid w:val="00032A34"/>
    <w:rsid w:val="00033E25"/>
    <w:rsid w:val="000353E9"/>
    <w:rsid w:val="000405F8"/>
    <w:rsid w:val="00040BA7"/>
    <w:rsid w:val="00044C57"/>
    <w:rsid w:val="00044CD3"/>
    <w:rsid w:val="00045024"/>
    <w:rsid w:val="000469D5"/>
    <w:rsid w:val="000478E0"/>
    <w:rsid w:val="00051A00"/>
    <w:rsid w:val="000542B8"/>
    <w:rsid w:val="000548D9"/>
    <w:rsid w:val="00055FB7"/>
    <w:rsid w:val="000571E6"/>
    <w:rsid w:val="00057F04"/>
    <w:rsid w:val="0006067F"/>
    <w:rsid w:val="0006069D"/>
    <w:rsid w:val="00061AB9"/>
    <w:rsid w:val="0006273D"/>
    <w:rsid w:val="00062DA1"/>
    <w:rsid w:val="00066F8B"/>
    <w:rsid w:val="000702E5"/>
    <w:rsid w:val="000708CE"/>
    <w:rsid w:val="000719DE"/>
    <w:rsid w:val="00072A1B"/>
    <w:rsid w:val="00073055"/>
    <w:rsid w:val="000745D5"/>
    <w:rsid w:val="00074749"/>
    <w:rsid w:val="0008066F"/>
    <w:rsid w:val="00080E66"/>
    <w:rsid w:val="0008166F"/>
    <w:rsid w:val="00081D27"/>
    <w:rsid w:val="000874B3"/>
    <w:rsid w:val="00090B7E"/>
    <w:rsid w:val="00090D27"/>
    <w:rsid w:val="000911A3"/>
    <w:rsid w:val="0009126C"/>
    <w:rsid w:val="00091483"/>
    <w:rsid w:val="000935D5"/>
    <w:rsid w:val="000937D5"/>
    <w:rsid w:val="000950E4"/>
    <w:rsid w:val="00097130"/>
    <w:rsid w:val="00097B6D"/>
    <w:rsid w:val="000A10BD"/>
    <w:rsid w:val="000A3D49"/>
    <w:rsid w:val="000A6125"/>
    <w:rsid w:val="000A7AAD"/>
    <w:rsid w:val="000B0562"/>
    <w:rsid w:val="000B1482"/>
    <w:rsid w:val="000B1879"/>
    <w:rsid w:val="000B63CB"/>
    <w:rsid w:val="000B7C55"/>
    <w:rsid w:val="000C04C6"/>
    <w:rsid w:val="000C1110"/>
    <w:rsid w:val="000D0519"/>
    <w:rsid w:val="000D1BA1"/>
    <w:rsid w:val="000D1DA0"/>
    <w:rsid w:val="000D5B79"/>
    <w:rsid w:val="000E01EC"/>
    <w:rsid w:val="000E5436"/>
    <w:rsid w:val="000E59B5"/>
    <w:rsid w:val="000E753D"/>
    <w:rsid w:val="000F1C82"/>
    <w:rsid w:val="000F3AC4"/>
    <w:rsid w:val="000F463D"/>
    <w:rsid w:val="000F75F3"/>
    <w:rsid w:val="00100CE8"/>
    <w:rsid w:val="00102665"/>
    <w:rsid w:val="0010397C"/>
    <w:rsid w:val="00105CA8"/>
    <w:rsid w:val="00105E2A"/>
    <w:rsid w:val="00111D0C"/>
    <w:rsid w:val="001141DF"/>
    <w:rsid w:val="001158C2"/>
    <w:rsid w:val="0011633E"/>
    <w:rsid w:val="001177F0"/>
    <w:rsid w:val="00117C9D"/>
    <w:rsid w:val="00120FB1"/>
    <w:rsid w:val="0012272A"/>
    <w:rsid w:val="00123A8B"/>
    <w:rsid w:val="0013151F"/>
    <w:rsid w:val="00131816"/>
    <w:rsid w:val="00132684"/>
    <w:rsid w:val="00132C4F"/>
    <w:rsid w:val="00135EBA"/>
    <w:rsid w:val="00140474"/>
    <w:rsid w:val="001416E4"/>
    <w:rsid w:val="00142F8B"/>
    <w:rsid w:val="00143C35"/>
    <w:rsid w:val="0014668A"/>
    <w:rsid w:val="0015050C"/>
    <w:rsid w:val="00154E32"/>
    <w:rsid w:val="00157271"/>
    <w:rsid w:val="0016550D"/>
    <w:rsid w:val="00165ED3"/>
    <w:rsid w:val="00165FF8"/>
    <w:rsid w:val="00171099"/>
    <w:rsid w:val="0017227E"/>
    <w:rsid w:val="00175290"/>
    <w:rsid w:val="0018109F"/>
    <w:rsid w:val="00183748"/>
    <w:rsid w:val="0018637E"/>
    <w:rsid w:val="001906D8"/>
    <w:rsid w:val="001927F0"/>
    <w:rsid w:val="00192A8B"/>
    <w:rsid w:val="00194EA1"/>
    <w:rsid w:val="00197FAB"/>
    <w:rsid w:val="001A5C5C"/>
    <w:rsid w:val="001B1932"/>
    <w:rsid w:val="001B4C9E"/>
    <w:rsid w:val="001B55D5"/>
    <w:rsid w:val="001B7588"/>
    <w:rsid w:val="001C381F"/>
    <w:rsid w:val="001C3890"/>
    <w:rsid w:val="001D008D"/>
    <w:rsid w:val="001D1A03"/>
    <w:rsid w:val="001D2B33"/>
    <w:rsid w:val="001D2B5C"/>
    <w:rsid w:val="001D3198"/>
    <w:rsid w:val="001E057A"/>
    <w:rsid w:val="001E26E9"/>
    <w:rsid w:val="001E597C"/>
    <w:rsid w:val="001F0E94"/>
    <w:rsid w:val="001F3748"/>
    <w:rsid w:val="001F7C5B"/>
    <w:rsid w:val="001F7E18"/>
    <w:rsid w:val="001F7E3D"/>
    <w:rsid w:val="001F7EF1"/>
    <w:rsid w:val="0021037D"/>
    <w:rsid w:val="002146D4"/>
    <w:rsid w:val="0021646C"/>
    <w:rsid w:val="002208AF"/>
    <w:rsid w:val="00222C32"/>
    <w:rsid w:val="002243D1"/>
    <w:rsid w:val="00226043"/>
    <w:rsid w:val="00226771"/>
    <w:rsid w:val="002267B5"/>
    <w:rsid w:val="0022717B"/>
    <w:rsid w:val="00232905"/>
    <w:rsid w:val="002365E5"/>
    <w:rsid w:val="002405AA"/>
    <w:rsid w:val="00250EBA"/>
    <w:rsid w:val="0025101E"/>
    <w:rsid w:val="00262008"/>
    <w:rsid w:val="0026279A"/>
    <w:rsid w:val="002651C1"/>
    <w:rsid w:val="002665D1"/>
    <w:rsid w:val="002670A4"/>
    <w:rsid w:val="002711BC"/>
    <w:rsid w:val="00274E1D"/>
    <w:rsid w:val="0027714E"/>
    <w:rsid w:val="0027769C"/>
    <w:rsid w:val="00281FF2"/>
    <w:rsid w:val="00283100"/>
    <w:rsid w:val="00286AF7"/>
    <w:rsid w:val="002875DA"/>
    <w:rsid w:val="00287C5B"/>
    <w:rsid w:val="00287E8E"/>
    <w:rsid w:val="00290B18"/>
    <w:rsid w:val="00291A8A"/>
    <w:rsid w:val="00293524"/>
    <w:rsid w:val="002947D3"/>
    <w:rsid w:val="002A0B86"/>
    <w:rsid w:val="002A161B"/>
    <w:rsid w:val="002A33AF"/>
    <w:rsid w:val="002A4F7E"/>
    <w:rsid w:val="002A503D"/>
    <w:rsid w:val="002A6CC2"/>
    <w:rsid w:val="002B60C7"/>
    <w:rsid w:val="002C056F"/>
    <w:rsid w:val="002C3009"/>
    <w:rsid w:val="002C3592"/>
    <w:rsid w:val="002C3EF6"/>
    <w:rsid w:val="002C50A4"/>
    <w:rsid w:val="002C7ECF"/>
    <w:rsid w:val="002D1E3A"/>
    <w:rsid w:val="002D1E9D"/>
    <w:rsid w:val="002E0C32"/>
    <w:rsid w:val="002E0F6B"/>
    <w:rsid w:val="002E1166"/>
    <w:rsid w:val="002E28D4"/>
    <w:rsid w:val="002E30D5"/>
    <w:rsid w:val="002E369D"/>
    <w:rsid w:val="002E37B9"/>
    <w:rsid w:val="002E585D"/>
    <w:rsid w:val="002F1F1F"/>
    <w:rsid w:val="002F34E8"/>
    <w:rsid w:val="002F6C40"/>
    <w:rsid w:val="002F6E76"/>
    <w:rsid w:val="0030126C"/>
    <w:rsid w:val="003049E1"/>
    <w:rsid w:val="0030727C"/>
    <w:rsid w:val="00311303"/>
    <w:rsid w:val="00313C45"/>
    <w:rsid w:val="00313E05"/>
    <w:rsid w:val="00315796"/>
    <w:rsid w:val="003171CC"/>
    <w:rsid w:val="00320A0E"/>
    <w:rsid w:val="00320AFC"/>
    <w:rsid w:val="00321201"/>
    <w:rsid w:val="00322F97"/>
    <w:rsid w:val="00332FE0"/>
    <w:rsid w:val="003336A3"/>
    <w:rsid w:val="00333816"/>
    <w:rsid w:val="00337471"/>
    <w:rsid w:val="003404E8"/>
    <w:rsid w:val="00341241"/>
    <w:rsid w:val="00342128"/>
    <w:rsid w:val="0035498C"/>
    <w:rsid w:val="00355DA0"/>
    <w:rsid w:val="00364E2B"/>
    <w:rsid w:val="0036713E"/>
    <w:rsid w:val="0037052A"/>
    <w:rsid w:val="00373147"/>
    <w:rsid w:val="00373A01"/>
    <w:rsid w:val="00373C57"/>
    <w:rsid w:val="00376B43"/>
    <w:rsid w:val="003771C5"/>
    <w:rsid w:val="00377E1D"/>
    <w:rsid w:val="0038032B"/>
    <w:rsid w:val="00381AB4"/>
    <w:rsid w:val="003821DD"/>
    <w:rsid w:val="00384C53"/>
    <w:rsid w:val="00386431"/>
    <w:rsid w:val="00390D8C"/>
    <w:rsid w:val="003917C2"/>
    <w:rsid w:val="00391B93"/>
    <w:rsid w:val="003926D9"/>
    <w:rsid w:val="00393A70"/>
    <w:rsid w:val="003944EB"/>
    <w:rsid w:val="00395437"/>
    <w:rsid w:val="00396A7B"/>
    <w:rsid w:val="003A3E91"/>
    <w:rsid w:val="003A5CE2"/>
    <w:rsid w:val="003A5D19"/>
    <w:rsid w:val="003A5EF8"/>
    <w:rsid w:val="003A695B"/>
    <w:rsid w:val="003A7FCD"/>
    <w:rsid w:val="003B11C4"/>
    <w:rsid w:val="003B1E03"/>
    <w:rsid w:val="003B4613"/>
    <w:rsid w:val="003B67F5"/>
    <w:rsid w:val="003B6B9F"/>
    <w:rsid w:val="003B7309"/>
    <w:rsid w:val="003C10B3"/>
    <w:rsid w:val="003C2013"/>
    <w:rsid w:val="003C30C5"/>
    <w:rsid w:val="003C35F6"/>
    <w:rsid w:val="003C45FD"/>
    <w:rsid w:val="003C4825"/>
    <w:rsid w:val="003C64DF"/>
    <w:rsid w:val="003D39F1"/>
    <w:rsid w:val="003D3B6D"/>
    <w:rsid w:val="003D4B6A"/>
    <w:rsid w:val="003D5B19"/>
    <w:rsid w:val="003D78A1"/>
    <w:rsid w:val="003E005C"/>
    <w:rsid w:val="003E0A2B"/>
    <w:rsid w:val="003E7DA2"/>
    <w:rsid w:val="003F363E"/>
    <w:rsid w:val="003F39F0"/>
    <w:rsid w:val="003F3F6F"/>
    <w:rsid w:val="003F56FB"/>
    <w:rsid w:val="003F71C4"/>
    <w:rsid w:val="00405141"/>
    <w:rsid w:val="004061A2"/>
    <w:rsid w:val="00407F2C"/>
    <w:rsid w:val="0041242F"/>
    <w:rsid w:val="0041344D"/>
    <w:rsid w:val="00415865"/>
    <w:rsid w:val="00416CAE"/>
    <w:rsid w:val="00417194"/>
    <w:rsid w:val="0041733E"/>
    <w:rsid w:val="004222D2"/>
    <w:rsid w:val="00422E6F"/>
    <w:rsid w:val="00423737"/>
    <w:rsid w:val="004252AB"/>
    <w:rsid w:val="0042707B"/>
    <w:rsid w:val="00430D48"/>
    <w:rsid w:val="00431A4F"/>
    <w:rsid w:val="00432FAC"/>
    <w:rsid w:val="0043552D"/>
    <w:rsid w:val="00436D75"/>
    <w:rsid w:val="0044041A"/>
    <w:rsid w:val="00440476"/>
    <w:rsid w:val="00441384"/>
    <w:rsid w:val="004417CC"/>
    <w:rsid w:val="00442335"/>
    <w:rsid w:val="00445638"/>
    <w:rsid w:val="0044574E"/>
    <w:rsid w:val="004457EA"/>
    <w:rsid w:val="00446236"/>
    <w:rsid w:val="0045016E"/>
    <w:rsid w:val="00450676"/>
    <w:rsid w:val="00450A1C"/>
    <w:rsid w:val="00455230"/>
    <w:rsid w:val="00456AFD"/>
    <w:rsid w:val="00460801"/>
    <w:rsid w:val="00461519"/>
    <w:rsid w:val="004618AB"/>
    <w:rsid w:val="004624A1"/>
    <w:rsid w:val="00462D5E"/>
    <w:rsid w:val="00471C68"/>
    <w:rsid w:val="00471EE6"/>
    <w:rsid w:val="00474B04"/>
    <w:rsid w:val="004750FE"/>
    <w:rsid w:val="00483DFE"/>
    <w:rsid w:val="00484482"/>
    <w:rsid w:val="0048511A"/>
    <w:rsid w:val="0048690B"/>
    <w:rsid w:val="00490E23"/>
    <w:rsid w:val="00492011"/>
    <w:rsid w:val="0049253B"/>
    <w:rsid w:val="00492B85"/>
    <w:rsid w:val="004953EE"/>
    <w:rsid w:val="00497D67"/>
    <w:rsid w:val="004A10B3"/>
    <w:rsid w:val="004A269D"/>
    <w:rsid w:val="004B37B0"/>
    <w:rsid w:val="004B4A7B"/>
    <w:rsid w:val="004B5507"/>
    <w:rsid w:val="004B55D3"/>
    <w:rsid w:val="004B773E"/>
    <w:rsid w:val="004B7E16"/>
    <w:rsid w:val="004C1495"/>
    <w:rsid w:val="004C2AFB"/>
    <w:rsid w:val="004C343D"/>
    <w:rsid w:val="004C686D"/>
    <w:rsid w:val="004D0089"/>
    <w:rsid w:val="004D023B"/>
    <w:rsid w:val="004D36F1"/>
    <w:rsid w:val="004D38DA"/>
    <w:rsid w:val="004D3A46"/>
    <w:rsid w:val="004D6819"/>
    <w:rsid w:val="004E26E8"/>
    <w:rsid w:val="004E386A"/>
    <w:rsid w:val="004F614C"/>
    <w:rsid w:val="005027D0"/>
    <w:rsid w:val="00505CD6"/>
    <w:rsid w:val="0051226C"/>
    <w:rsid w:val="00512ED1"/>
    <w:rsid w:val="005135D5"/>
    <w:rsid w:val="0051411C"/>
    <w:rsid w:val="00514F3D"/>
    <w:rsid w:val="00516665"/>
    <w:rsid w:val="00517846"/>
    <w:rsid w:val="00521C6A"/>
    <w:rsid w:val="00524975"/>
    <w:rsid w:val="005302B1"/>
    <w:rsid w:val="0053061E"/>
    <w:rsid w:val="0053236A"/>
    <w:rsid w:val="0053395E"/>
    <w:rsid w:val="00541D40"/>
    <w:rsid w:val="00542024"/>
    <w:rsid w:val="0054262C"/>
    <w:rsid w:val="00546B3B"/>
    <w:rsid w:val="00551508"/>
    <w:rsid w:val="00552925"/>
    <w:rsid w:val="00552EEE"/>
    <w:rsid w:val="00553463"/>
    <w:rsid w:val="00553A69"/>
    <w:rsid w:val="00560089"/>
    <w:rsid w:val="00560ACF"/>
    <w:rsid w:val="00560DB2"/>
    <w:rsid w:val="00563B60"/>
    <w:rsid w:val="00564733"/>
    <w:rsid w:val="0056613D"/>
    <w:rsid w:val="0056741F"/>
    <w:rsid w:val="005705D8"/>
    <w:rsid w:val="0057083B"/>
    <w:rsid w:val="00570987"/>
    <w:rsid w:val="00572927"/>
    <w:rsid w:val="00572EBA"/>
    <w:rsid w:val="00574CCC"/>
    <w:rsid w:val="005758DF"/>
    <w:rsid w:val="00580D52"/>
    <w:rsid w:val="00580ECC"/>
    <w:rsid w:val="00581237"/>
    <w:rsid w:val="00582F4F"/>
    <w:rsid w:val="00584701"/>
    <w:rsid w:val="00595451"/>
    <w:rsid w:val="005A2291"/>
    <w:rsid w:val="005A3037"/>
    <w:rsid w:val="005A363A"/>
    <w:rsid w:val="005A7BBC"/>
    <w:rsid w:val="005B3D96"/>
    <w:rsid w:val="005B3FF2"/>
    <w:rsid w:val="005B591A"/>
    <w:rsid w:val="005B607C"/>
    <w:rsid w:val="005B6DCA"/>
    <w:rsid w:val="005B78FF"/>
    <w:rsid w:val="005C328D"/>
    <w:rsid w:val="005C5EDC"/>
    <w:rsid w:val="005C6C89"/>
    <w:rsid w:val="005C747A"/>
    <w:rsid w:val="005D3FF8"/>
    <w:rsid w:val="005D7B3D"/>
    <w:rsid w:val="005E0192"/>
    <w:rsid w:val="005E34DA"/>
    <w:rsid w:val="005E4CFB"/>
    <w:rsid w:val="005E6555"/>
    <w:rsid w:val="005F09E2"/>
    <w:rsid w:val="005F0A2F"/>
    <w:rsid w:val="005F1571"/>
    <w:rsid w:val="005F3C9A"/>
    <w:rsid w:val="005F3EEE"/>
    <w:rsid w:val="005F6546"/>
    <w:rsid w:val="005F77ED"/>
    <w:rsid w:val="00600968"/>
    <w:rsid w:val="0060171B"/>
    <w:rsid w:val="00601D94"/>
    <w:rsid w:val="006044DC"/>
    <w:rsid w:val="006046B2"/>
    <w:rsid w:val="00604B68"/>
    <w:rsid w:val="00605CBC"/>
    <w:rsid w:val="006065B2"/>
    <w:rsid w:val="00614F2B"/>
    <w:rsid w:val="006150AF"/>
    <w:rsid w:val="00617C57"/>
    <w:rsid w:val="00622854"/>
    <w:rsid w:val="0062402C"/>
    <w:rsid w:val="006256B4"/>
    <w:rsid w:val="006267AF"/>
    <w:rsid w:val="00626B32"/>
    <w:rsid w:val="00630942"/>
    <w:rsid w:val="00633306"/>
    <w:rsid w:val="00633E1B"/>
    <w:rsid w:val="006346B3"/>
    <w:rsid w:val="00635935"/>
    <w:rsid w:val="0063616C"/>
    <w:rsid w:val="006367C9"/>
    <w:rsid w:val="0063696F"/>
    <w:rsid w:val="00636A88"/>
    <w:rsid w:val="0063785F"/>
    <w:rsid w:val="006408D3"/>
    <w:rsid w:val="0064150A"/>
    <w:rsid w:val="00642696"/>
    <w:rsid w:val="006433EB"/>
    <w:rsid w:val="00645038"/>
    <w:rsid w:val="0064643D"/>
    <w:rsid w:val="00650626"/>
    <w:rsid w:val="00650ADA"/>
    <w:rsid w:val="006523B3"/>
    <w:rsid w:val="00657BEF"/>
    <w:rsid w:val="00660468"/>
    <w:rsid w:val="006613F0"/>
    <w:rsid w:val="00661F7D"/>
    <w:rsid w:val="00666717"/>
    <w:rsid w:val="00666A56"/>
    <w:rsid w:val="00666CC1"/>
    <w:rsid w:val="00671C25"/>
    <w:rsid w:val="00672DE9"/>
    <w:rsid w:val="006739BA"/>
    <w:rsid w:val="006748E5"/>
    <w:rsid w:val="006756E0"/>
    <w:rsid w:val="006759E4"/>
    <w:rsid w:val="00683018"/>
    <w:rsid w:val="00683FCE"/>
    <w:rsid w:val="00684496"/>
    <w:rsid w:val="006847AA"/>
    <w:rsid w:val="00684ADC"/>
    <w:rsid w:val="00692C5F"/>
    <w:rsid w:val="00693E8B"/>
    <w:rsid w:val="00694157"/>
    <w:rsid w:val="00694D9D"/>
    <w:rsid w:val="00697362"/>
    <w:rsid w:val="006A0211"/>
    <w:rsid w:val="006A1605"/>
    <w:rsid w:val="006A297A"/>
    <w:rsid w:val="006A3328"/>
    <w:rsid w:val="006B1B31"/>
    <w:rsid w:val="006B34AE"/>
    <w:rsid w:val="006B3BD9"/>
    <w:rsid w:val="006B4D50"/>
    <w:rsid w:val="006B5132"/>
    <w:rsid w:val="006B7174"/>
    <w:rsid w:val="006C0854"/>
    <w:rsid w:val="006C1FD0"/>
    <w:rsid w:val="006C3652"/>
    <w:rsid w:val="006C6DA2"/>
    <w:rsid w:val="006C7192"/>
    <w:rsid w:val="006C7DEF"/>
    <w:rsid w:val="006D1333"/>
    <w:rsid w:val="006D1CBD"/>
    <w:rsid w:val="006D2BB7"/>
    <w:rsid w:val="006D456D"/>
    <w:rsid w:val="006E12D3"/>
    <w:rsid w:val="006E1336"/>
    <w:rsid w:val="006E27E9"/>
    <w:rsid w:val="006E2E3B"/>
    <w:rsid w:val="006E3CCC"/>
    <w:rsid w:val="006E3E5E"/>
    <w:rsid w:val="006E3F51"/>
    <w:rsid w:val="006E549F"/>
    <w:rsid w:val="006E6D71"/>
    <w:rsid w:val="006F13F8"/>
    <w:rsid w:val="006F3033"/>
    <w:rsid w:val="006F3E06"/>
    <w:rsid w:val="006F43F5"/>
    <w:rsid w:val="006F6E14"/>
    <w:rsid w:val="00703ECB"/>
    <w:rsid w:val="00706DD6"/>
    <w:rsid w:val="0071145E"/>
    <w:rsid w:val="00714232"/>
    <w:rsid w:val="00715DB4"/>
    <w:rsid w:val="007206D7"/>
    <w:rsid w:val="007224BB"/>
    <w:rsid w:val="00730064"/>
    <w:rsid w:val="0073069E"/>
    <w:rsid w:val="007313B6"/>
    <w:rsid w:val="00732D93"/>
    <w:rsid w:val="007379A8"/>
    <w:rsid w:val="00741861"/>
    <w:rsid w:val="00743049"/>
    <w:rsid w:val="00743473"/>
    <w:rsid w:val="00743682"/>
    <w:rsid w:val="00743723"/>
    <w:rsid w:val="00746705"/>
    <w:rsid w:val="00746B6A"/>
    <w:rsid w:val="00750C51"/>
    <w:rsid w:val="00751286"/>
    <w:rsid w:val="00751CB6"/>
    <w:rsid w:val="007547BA"/>
    <w:rsid w:val="007556EA"/>
    <w:rsid w:val="00757C76"/>
    <w:rsid w:val="00765956"/>
    <w:rsid w:val="00767897"/>
    <w:rsid w:val="00773A10"/>
    <w:rsid w:val="00774705"/>
    <w:rsid w:val="007774FA"/>
    <w:rsid w:val="00780DA4"/>
    <w:rsid w:val="00781CC2"/>
    <w:rsid w:val="007851A5"/>
    <w:rsid w:val="00787A6C"/>
    <w:rsid w:val="00790759"/>
    <w:rsid w:val="00791F9C"/>
    <w:rsid w:val="00793984"/>
    <w:rsid w:val="00793DDB"/>
    <w:rsid w:val="0079584D"/>
    <w:rsid w:val="007963E0"/>
    <w:rsid w:val="0079693E"/>
    <w:rsid w:val="007A1B2A"/>
    <w:rsid w:val="007A4614"/>
    <w:rsid w:val="007B0AA0"/>
    <w:rsid w:val="007B10CA"/>
    <w:rsid w:val="007B15BC"/>
    <w:rsid w:val="007B1D46"/>
    <w:rsid w:val="007B35F9"/>
    <w:rsid w:val="007B40D4"/>
    <w:rsid w:val="007B4F24"/>
    <w:rsid w:val="007B5428"/>
    <w:rsid w:val="007C4D20"/>
    <w:rsid w:val="007C6EE5"/>
    <w:rsid w:val="007C73F0"/>
    <w:rsid w:val="007C769B"/>
    <w:rsid w:val="007D42E4"/>
    <w:rsid w:val="007D7048"/>
    <w:rsid w:val="007D754C"/>
    <w:rsid w:val="007E07E1"/>
    <w:rsid w:val="007E14E5"/>
    <w:rsid w:val="007E2B6E"/>
    <w:rsid w:val="007E3942"/>
    <w:rsid w:val="007E49F8"/>
    <w:rsid w:val="007E50B6"/>
    <w:rsid w:val="007E6F7E"/>
    <w:rsid w:val="007F023A"/>
    <w:rsid w:val="007F06E4"/>
    <w:rsid w:val="007F1028"/>
    <w:rsid w:val="007F36E5"/>
    <w:rsid w:val="007F4E12"/>
    <w:rsid w:val="007F52F4"/>
    <w:rsid w:val="007F6BF0"/>
    <w:rsid w:val="007F7263"/>
    <w:rsid w:val="007F76EF"/>
    <w:rsid w:val="00800A0C"/>
    <w:rsid w:val="00800B79"/>
    <w:rsid w:val="00801F01"/>
    <w:rsid w:val="00805F3F"/>
    <w:rsid w:val="00807CE8"/>
    <w:rsid w:val="0081224B"/>
    <w:rsid w:val="008130FD"/>
    <w:rsid w:val="008133BA"/>
    <w:rsid w:val="00813C73"/>
    <w:rsid w:val="00814F68"/>
    <w:rsid w:val="00815F7C"/>
    <w:rsid w:val="00816F0E"/>
    <w:rsid w:val="0082039D"/>
    <w:rsid w:val="0082059D"/>
    <w:rsid w:val="00820653"/>
    <w:rsid w:val="00822361"/>
    <w:rsid w:val="00822D02"/>
    <w:rsid w:val="00823E27"/>
    <w:rsid w:val="00824AFB"/>
    <w:rsid w:val="00827495"/>
    <w:rsid w:val="008278C3"/>
    <w:rsid w:val="00830C8C"/>
    <w:rsid w:val="00833D84"/>
    <w:rsid w:val="00833E8B"/>
    <w:rsid w:val="00840136"/>
    <w:rsid w:val="008402B5"/>
    <w:rsid w:val="00840AFF"/>
    <w:rsid w:val="00843EA4"/>
    <w:rsid w:val="0085060C"/>
    <w:rsid w:val="0085105E"/>
    <w:rsid w:val="008524A0"/>
    <w:rsid w:val="00854620"/>
    <w:rsid w:val="00854EE9"/>
    <w:rsid w:val="00856C5D"/>
    <w:rsid w:val="00857355"/>
    <w:rsid w:val="008609EB"/>
    <w:rsid w:val="00861058"/>
    <w:rsid w:val="008623C1"/>
    <w:rsid w:val="00862FBA"/>
    <w:rsid w:val="00864928"/>
    <w:rsid w:val="00866C6F"/>
    <w:rsid w:val="00871C5D"/>
    <w:rsid w:val="008720F1"/>
    <w:rsid w:val="008773A0"/>
    <w:rsid w:val="00877B28"/>
    <w:rsid w:val="008822AF"/>
    <w:rsid w:val="008851AE"/>
    <w:rsid w:val="00885F7E"/>
    <w:rsid w:val="008879B4"/>
    <w:rsid w:val="00887F65"/>
    <w:rsid w:val="00890360"/>
    <w:rsid w:val="008905ED"/>
    <w:rsid w:val="00893A6B"/>
    <w:rsid w:val="008949A3"/>
    <w:rsid w:val="00896FEB"/>
    <w:rsid w:val="00897541"/>
    <w:rsid w:val="00897DBD"/>
    <w:rsid w:val="008A08A0"/>
    <w:rsid w:val="008A1709"/>
    <w:rsid w:val="008A264F"/>
    <w:rsid w:val="008A2E4D"/>
    <w:rsid w:val="008A3201"/>
    <w:rsid w:val="008A3A8C"/>
    <w:rsid w:val="008A78DD"/>
    <w:rsid w:val="008A7C83"/>
    <w:rsid w:val="008B30B3"/>
    <w:rsid w:val="008B480F"/>
    <w:rsid w:val="008B511C"/>
    <w:rsid w:val="008B5AE4"/>
    <w:rsid w:val="008C06C8"/>
    <w:rsid w:val="008C202C"/>
    <w:rsid w:val="008C493A"/>
    <w:rsid w:val="008C5330"/>
    <w:rsid w:val="008C5931"/>
    <w:rsid w:val="008C65A3"/>
    <w:rsid w:val="008D4FEC"/>
    <w:rsid w:val="008D6BBC"/>
    <w:rsid w:val="008E4941"/>
    <w:rsid w:val="008E6871"/>
    <w:rsid w:val="008E6FE8"/>
    <w:rsid w:val="008E7C1B"/>
    <w:rsid w:val="008F08DA"/>
    <w:rsid w:val="008F19B7"/>
    <w:rsid w:val="008F1FEE"/>
    <w:rsid w:val="008F2956"/>
    <w:rsid w:val="008F2CEB"/>
    <w:rsid w:val="008F74B8"/>
    <w:rsid w:val="008F7CA4"/>
    <w:rsid w:val="00901086"/>
    <w:rsid w:val="00907A2F"/>
    <w:rsid w:val="00911835"/>
    <w:rsid w:val="009130FD"/>
    <w:rsid w:val="00913915"/>
    <w:rsid w:val="009172FB"/>
    <w:rsid w:val="0092470B"/>
    <w:rsid w:val="009258DE"/>
    <w:rsid w:val="00926F7C"/>
    <w:rsid w:val="00927120"/>
    <w:rsid w:val="00927CEC"/>
    <w:rsid w:val="009343C0"/>
    <w:rsid w:val="00935054"/>
    <w:rsid w:val="009420D0"/>
    <w:rsid w:val="009453F0"/>
    <w:rsid w:val="00947805"/>
    <w:rsid w:val="009501A9"/>
    <w:rsid w:val="00950A28"/>
    <w:rsid w:val="0095310D"/>
    <w:rsid w:val="00960ABE"/>
    <w:rsid w:val="0096222E"/>
    <w:rsid w:val="009624BB"/>
    <w:rsid w:val="00963D81"/>
    <w:rsid w:val="00966CB1"/>
    <w:rsid w:val="009707D5"/>
    <w:rsid w:val="00972DBB"/>
    <w:rsid w:val="00973614"/>
    <w:rsid w:val="00973C7D"/>
    <w:rsid w:val="00982814"/>
    <w:rsid w:val="00983C99"/>
    <w:rsid w:val="0098463A"/>
    <w:rsid w:val="00984926"/>
    <w:rsid w:val="009874E3"/>
    <w:rsid w:val="00987A6A"/>
    <w:rsid w:val="009921C0"/>
    <w:rsid w:val="00992974"/>
    <w:rsid w:val="00994600"/>
    <w:rsid w:val="0099510E"/>
    <w:rsid w:val="00996F0B"/>
    <w:rsid w:val="009A0CC1"/>
    <w:rsid w:val="009A1A82"/>
    <w:rsid w:val="009A2ADE"/>
    <w:rsid w:val="009A3152"/>
    <w:rsid w:val="009A37C3"/>
    <w:rsid w:val="009B02EA"/>
    <w:rsid w:val="009B0CDD"/>
    <w:rsid w:val="009B2450"/>
    <w:rsid w:val="009B4041"/>
    <w:rsid w:val="009B4B60"/>
    <w:rsid w:val="009B5851"/>
    <w:rsid w:val="009B686A"/>
    <w:rsid w:val="009C03EC"/>
    <w:rsid w:val="009C0BCC"/>
    <w:rsid w:val="009C10A1"/>
    <w:rsid w:val="009C25B2"/>
    <w:rsid w:val="009C29DA"/>
    <w:rsid w:val="009D2E3A"/>
    <w:rsid w:val="009D43CA"/>
    <w:rsid w:val="009D6019"/>
    <w:rsid w:val="009D63A4"/>
    <w:rsid w:val="009D78B5"/>
    <w:rsid w:val="009E6201"/>
    <w:rsid w:val="009F001D"/>
    <w:rsid w:val="009F19F6"/>
    <w:rsid w:val="009F1FE9"/>
    <w:rsid w:val="009F231C"/>
    <w:rsid w:val="009F3649"/>
    <w:rsid w:val="009F37DA"/>
    <w:rsid w:val="009F57D6"/>
    <w:rsid w:val="009F7548"/>
    <w:rsid w:val="009F7658"/>
    <w:rsid w:val="00A00273"/>
    <w:rsid w:val="00A01947"/>
    <w:rsid w:val="00A05048"/>
    <w:rsid w:val="00A0774B"/>
    <w:rsid w:val="00A10890"/>
    <w:rsid w:val="00A10A76"/>
    <w:rsid w:val="00A11676"/>
    <w:rsid w:val="00A206B1"/>
    <w:rsid w:val="00A24819"/>
    <w:rsid w:val="00A25848"/>
    <w:rsid w:val="00A271B0"/>
    <w:rsid w:val="00A31B4F"/>
    <w:rsid w:val="00A344A5"/>
    <w:rsid w:val="00A352D3"/>
    <w:rsid w:val="00A35890"/>
    <w:rsid w:val="00A36803"/>
    <w:rsid w:val="00A44059"/>
    <w:rsid w:val="00A52A00"/>
    <w:rsid w:val="00A5378B"/>
    <w:rsid w:val="00A53F42"/>
    <w:rsid w:val="00A55031"/>
    <w:rsid w:val="00A55C33"/>
    <w:rsid w:val="00A62181"/>
    <w:rsid w:val="00A64D76"/>
    <w:rsid w:val="00A65C95"/>
    <w:rsid w:val="00A66D47"/>
    <w:rsid w:val="00A716C0"/>
    <w:rsid w:val="00A71C56"/>
    <w:rsid w:val="00A73061"/>
    <w:rsid w:val="00A75F30"/>
    <w:rsid w:val="00A76755"/>
    <w:rsid w:val="00A77C50"/>
    <w:rsid w:val="00A80F1C"/>
    <w:rsid w:val="00A81E9B"/>
    <w:rsid w:val="00A83EAE"/>
    <w:rsid w:val="00A863A8"/>
    <w:rsid w:val="00A87950"/>
    <w:rsid w:val="00A92321"/>
    <w:rsid w:val="00A93E79"/>
    <w:rsid w:val="00A9484D"/>
    <w:rsid w:val="00AA1798"/>
    <w:rsid w:val="00AA2329"/>
    <w:rsid w:val="00AA2AB7"/>
    <w:rsid w:val="00AA2BDB"/>
    <w:rsid w:val="00AA6D25"/>
    <w:rsid w:val="00AB147C"/>
    <w:rsid w:val="00AB1947"/>
    <w:rsid w:val="00AB232F"/>
    <w:rsid w:val="00AB58A3"/>
    <w:rsid w:val="00AB5FC0"/>
    <w:rsid w:val="00AB6B29"/>
    <w:rsid w:val="00AC00D6"/>
    <w:rsid w:val="00AC1266"/>
    <w:rsid w:val="00AC403F"/>
    <w:rsid w:val="00AC450B"/>
    <w:rsid w:val="00AC5500"/>
    <w:rsid w:val="00AC6EBA"/>
    <w:rsid w:val="00AC75D8"/>
    <w:rsid w:val="00AD719A"/>
    <w:rsid w:val="00AE2AF4"/>
    <w:rsid w:val="00AE30AE"/>
    <w:rsid w:val="00AE3BFB"/>
    <w:rsid w:val="00AE4908"/>
    <w:rsid w:val="00AE4BA4"/>
    <w:rsid w:val="00AE7349"/>
    <w:rsid w:val="00B01BF6"/>
    <w:rsid w:val="00B02403"/>
    <w:rsid w:val="00B03243"/>
    <w:rsid w:val="00B06E63"/>
    <w:rsid w:val="00B070A6"/>
    <w:rsid w:val="00B123A5"/>
    <w:rsid w:val="00B12A7D"/>
    <w:rsid w:val="00B13351"/>
    <w:rsid w:val="00B20655"/>
    <w:rsid w:val="00B22850"/>
    <w:rsid w:val="00B23D44"/>
    <w:rsid w:val="00B24FA6"/>
    <w:rsid w:val="00B268A5"/>
    <w:rsid w:val="00B27EA6"/>
    <w:rsid w:val="00B303C8"/>
    <w:rsid w:val="00B3346D"/>
    <w:rsid w:val="00B348AE"/>
    <w:rsid w:val="00B354C3"/>
    <w:rsid w:val="00B37AA2"/>
    <w:rsid w:val="00B40FFB"/>
    <w:rsid w:val="00B41DF7"/>
    <w:rsid w:val="00B43C63"/>
    <w:rsid w:val="00B4551F"/>
    <w:rsid w:val="00B46D5F"/>
    <w:rsid w:val="00B47157"/>
    <w:rsid w:val="00B47308"/>
    <w:rsid w:val="00B5111C"/>
    <w:rsid w:val="00B52295"/>
    <w:rsid w:val="00B524EB"/>
    <w:rsid w:val="00B5782E"/>
    <w:rsid w:val="00B639AF"/>
    <w:rsid w:val="00B63BF7"/>
    <w:rsid w:val="00B65DAE"/>
    <w:rsid w:val="00B66504"/>
    <w:rsid w:val="00B674C8"/>
    <w:rsid w:val="00B7226B"/>
    <w:rsid w:val="00B816E1"/>
    <w:rsid w:val="00B81F6D"/>
    <w:rsid w:val="00B82E38"/>
    <w:rsid w:val="00B830CC"/>
    <w:rsid w:val="00B83C17"/>
    <w:rsid w:val="00B842F5"/>
    <w:rsid w:val="00B84B3C"/>
    <w:rsid w:val="00B85267"/>
    <w:rsid w:val="00B900CE"/>
    <w:rsid w:val="00B92411"/>
    <w:rsid w:val="00B93562"/>
    <w:rsid w:val="00B9364C"/>
    <w:rsid w:val="00B93C2C"/>
    <w:rsid w:val="00B95BF1"/>
    <w:rsid w:val="00B95E59"/>
    <w:rsid w:val="00B95FEB"/>
    <w:rsid w:val="00BA130C"/>
    <w:rsid w:val="00BA2499"/>
    <w:rsid w:val="00BA2F67"/>
    <w:rsid w:val="00BA464F"/>
    <w:rsid w:val="00BA4876"/>
    <w:rsid w:val="00BA79D8"/>
    <w:rsid w:val="00BA7E89"/>
    <w:rsid w:val="00BB4033"/>
    <w:rsid w:val="00BB5C53"/>
    <w:rsid w:val="00BC6E93"/>
    <w:rsid w:val="00BC7865"/>
    <w:rsid w:val="00BC78AE"/>
    <w:rsid w:val="00BD6E75"/>
    <w:rsid w:val="00BD79FC"/>
    <w:rsid w:val="00BE0BBE"/>
    <w:rsid w:val="00BE3E9F"/>
    <w:rsid w:val="00BE504D"/>
    <w:rsid w:val="00BE631F"/>
    <w:rsid w:val="00BE73B2"/>
    <w:rsid w:val="00BF223C"/>
    <w:rsid w:val="00BF3199"/>
    <w:rsid w:val="00BF424D"/>
    <w:rsid w:val="00BF6789"/>
    <w:rsid w:val="00C005CA"/>
    <w:rsid w:val="00C016A7"/>
    <w:rsid w:val="00C027FB"/>
    <w:rsid w:val="00C029F8"/>
    <w:rsid w:val="00C03890"/>
    <w:rsid w:val="00C0394B"/>
    <w:rsid w:val="00C0591E"/>
    <w:rsid w:val="00C05D16"/>
    <w:rsid w:val="00C071ED"/>
    <w:rsid w:val="00C100DB"/>
    <w:rsid w:val="00C11F78"/>
    <w:rsid w:val="00C12B9B"/>
    <w:rsid w:val="00C16860"/>
    <w:rsid w:val="00C174F8"/>
    <w:rsid w:val="00C17C98"/>
    <w:rsid w:val="00C17D58"/>
    <w:rsid w:val="00C2051B"/>
    <w:rsid w:val="00C20B9C"/>
    <w:rsid w:val="00C20C13"/>
    <w:rsid w:val="00C32F15"/>
    <w:rsid w:val="00C336A6"/>
    <w:rsid w:val="00C43BFD"/>
    <w:rsid w:val="00C4545A"/>
    <w:rsid w:val="00C50DCB"/>
    <w:rsid w:val="00C5220B"/>
    <w:rsid w:val="00C5456A"/>
    <w:rsid w:val="00C607E4"/>
    <w:rsid w:val="00C636BC"/>
    <w:rsid w:val="00C64E3E"/>
    <w:rsid w:val="00C664A2"/>
    <w:rsid w:val="00C66AD9"/>
    <w:rsid w:val="00C6719C"/>
    <w:rsid w:val="00C72BD7"/>
    <w:rsid w:val="00C73241"/>
    <w:rsid w:val="00C73D0E"/>
    <w:rsid w:val="00C75B34"/>
    <w:rsid w:val="00C76586"/>
    <w:rsid w:val="00C813D1"/>
    <w:rsid w:val="00C81833"/>
    <w:rsid w:val="00C81C6A"/>
    <w:rsid w:val="00C83786"/>
    <w:rsid w:val="00C84229"/>
    <w:rsid w:val="00C84D12"/>
    <w:rsid w:val="00C85A65"/>
    <w:rsid w:val="00C918A4"/>
    <w:rsid w:val="00C92BDF"/>
    <w:rsid w:val="00C93E27"/>
    <w:rsid w:val="00C95AB0"/>
    <w:rsid w:val="00CA138F"/>
    <w:rsid w:val="00CA1AE0"/>
    <w:rsid w:val="00CA301D"/>
    <w:rsid w:val="00CB29CE"/>
    <w:rsid w:val="00CB2A1D"/>
    <w:rsid w:val="00CB39D8"/>
    <w:rsid w:val="00CB3A2C"/>
    <w:rsid w:val="00CB3CF4"/>
    <w:rsid w:val="00CB48E4"/>
    <w:rsid w:val="00CB5B78"/>
    <w:rsid w:val="00CB60CD"/>
    <w:rsid w:val="00CB71E7"/>
    <w:rsid w:val="00CB7273"/>
    <w:rsid w:val="00CC5279"/>
    <w:rsid w:val="00CD09E6"/>
    <w:rsid w:val="00CD14D7"/>
    <w:rsid w:val="00CD2054"/>
    <w:rsid w:val="00CD2CDC"/>
    <w:rsid w:val="00CD446C"/>
    <w:rsid w:val="00CD65C9"/>
    <w:rsid w:val="00CE1B4C"/>
    <w:rsid w:val="00CE3E89"/>
    <w:rsid w:val="00CE41D8"/>
    <w:rsid w:val="00CE5F56"/>
    <w:rsid w:val="00CE6B99"/>
    <w:rsid w:val="00CE788B"/>
    <w:rsid w:val="00CF00A7"/>
    <w:rsid w:val="00CF1F25"/>
    <w:rsid w:val="00CF220D"/>
    <w:rsid w:val="00CF2E4C"/>
    <w:rsid w:val="00CF32AC"/>
    <w:rsid w:val="00D00F60"/>
    <w:rsid w:val="00D0189E"/>
    <w:rsid w:val="00D034DF"/>
    <w:rsid w:val="00D034F1"/>
    <w:rsid w:val="00D0372D"/>
    <w:rsid w:val="00D0520E"/>
    <w:rsid w:val="00D05BDC"/>
    <w:rsid w:val="00D11CD7"/>
    <w:rsid w:val="00D11DA9"/>
    <w:rsid w:val="00D12893"/>
    <w:rsid w:val="00D12E55"/>
    <w:rsid w:val="00D15A00"/>
    <w:rsid w:val="00D207EF"/>
    <w:rsid w:val="00D20ACE"/>
    <w:rsid w:val="00D20DD3"/>
    <w:rsid w:val="00D21927"/>
    <w:rsid w:val="00D24814"/>
    <w:rsid w:val="00D249E4"/>
    <w:rsid w:val="00D24ACB"/>
    <w:rsid w:val="00D25CBB"/>
    <w:rsid w:val="00D268C7"/>
    <w:rsid w:val="00D3023C"/>
    <w:rsid w:val="00D30EAF"/>
    <w:rsid w:val="00D314BC"/>
    <w:rsid w:val="00D31545"/>
    <w:rsid w:val="00D328C8"/>
    <w:rsid w:val="00D40633"/>
    <w:rsid w:val="00D40CF0"/>
    <w:rsid w:val="00D42042"/>
    <w:rsid w:val="00D42FDA"/>
    <w:rsid w:val="00D437B9"/>
    <w:rsid w:val="00D453F7"/>
    <w:rsid w:val="00D4740D"/>
    <w:rsid w:val="00D505B8"/>
    <w:rsid w:val="00D50C7A"/>
    <w:rsid w:val="00D53ED9"/>
    <w:rsid w:val="00D54109"/>
    <w:rsid w:val="00D548F8"/>
    <w:rsid w:val="00D626B1"/>
    <w:rsid w:val="00D6560A"/>
    <w:rsid w:val="00D668E6"/>
    <w:rsid w:val="00D81B5F"/>
    <w:rsid w:val="00D81F40"/>
    <w:rsid w:val="00D84C0B"/>
    <w:rsid w:val="00D84DD6"/>
    <w:rsid w:val="00D857E0"/>
    <w:rsid w:val="00D919F6"/>
    <w:rsid w:val="00D92F01"/>
    <w:rsid w:val="00D94195"/>
    <w:rsid w:val="00D946B1"/>
    <w:rsid w:val="00DA05D1"/>
    <w:rsid w:val="00DA2D58"/>
    <w:rsid w:val="00DB033F"/>
    <w:rsid w:val="00DB04F5"/>
    <w:rsid w:val="00DB1F89"/>
    <w:rsid w:val="00DB25A3"/>
    <w:rsid w:val="00DC00AA"/>
    <w:rsid w:val="00DC5101"/>
    <w:rsid w:val="00DC55B0"/>
    <w:rsid w:val="00DD0F72"/>
    <w:rsid w:val="00DD112C"/>
    <w:rsid w:val="00DD19C1"/>
    <w:rsid w:val="00DD2711"/>
    <w:rsid w:val="00DD573D"/>
    <w:rsid w:val="00DE0078"/>
    <w:rsid w:val="00DE0D4B"/>
    <w:rsid w:val="00DE3717"/>
    <w:rsid w:val="00DE5D91"/>
    <w:rsid w:val="00DE7FD9"/>
    <w:rsid w:val="00DF1243"/>
    <w:rsid w:val="00DF14E6"/>
    <w:rsid w:val="00DF3501"/>
    <w:rsid w:val="00DF4C2D"/>
    <w:rsid w:val="00DF5466"/>
    <w:rsid w:val="00DF6BFE"/>
    <w:rsid w:val="00E0044B"/>
    <w:rsid w:val="00E0135A"/>
    <w:rsid w:val="00E028A6"/>
    <w:rsid w:val="00E02FA3"/>
    <w:rsid w:val="00E04B23"/>
    <w:rsid w:val="00E11A81"/>
    <w:rsid w:val="00E169D3"/>
    <w:rsid w:val="00E17E76"/>
    <w:rsid w:val="00E20FA6"/>
    <w:rsid w:val="00E219F4"/>
    <w:rsid w:val="00E22B80"/>
    <w:rsid w:val="00E23F98"/>
    <w:rsid w:val="00E2434C"/>
    <w:rsid w:val="00E24ED2"/>
    <w:rsid w:val="00E2518F"/>
    <w:rsid w:val="00E302D5"/>
    <w:rsid w:val="00E40914"/>
    <w:rsid w:val="00E41714"/>
    <w:rsid w:val="00E45E96"/>
    <w:rsid w:val="00E45F84"/>
    <w:rsid w:val="00E47EE7"/>
    <w:rsid w:val="00E529FB"/>
    <w:rsid w:val="00E52E63"/>
    <w:rsid w:val="00E61620"/>
    <w:rsid w:val="00E61BFB"/>
    <w:rsid w:val="00E63A82"/>
    <w:rsid w:val="00E72BFC"/>
    <w:rsid w:val="00E75B66"/>
    <w:rsid w:val="00E80318"/>
    <w:rsid w:val="00E80497"/>
    <w:rsid w:val="00E83033"/>
    <w:rsid w:val="00E8395A"/>
    <w:rsid w:val="00E840C9"/>
    <w:rsid w:val="00E84337"/>
    <w:rsid w:val="00E85F37"/>
    <w:rsid w:val="00E8713D"/>
    <w:rsid w:val="00E90C6F"/>
    <w:rsid w:val="00E92CD6"/>
    <w:rsid w:val="00E94773"/>
    <w:rsid w:val="00E94A1C"/>
    <w:rsid w:val="00EA2EF8"/>
    <w:rsid w:val="00EA77FD"/>
    <w:rsid w:val="00EB0112"/>
    <w:rsid w:val="00EB0F45"/>
    <w:rsid w:val="00EB300B"/>
    <w:rsid w:val="00EB45C3"/>
    <w:rsid w:val="00EB4EDA"/>
    <w:rsid w:val="00EB60C1"/>
    <w:rsid w:val="00EB76C0"/>
    <w:rsid w:val="00EC0F89"/>
    <w:rsid w:val="00ED0A97"/>
    <w:rsid w:val="00ED298E"/>
    <w:rsid w:val="00ED4B38"/>
    <w:rsid w:val="00EE000C"/>
    <w:rsid w:val="00EE04C7"/>
    <w:rsid w:val="00EE1067"/>
    <w:rsid w:val="00EE1BED"/>
    <w:rsid w:val="00EE37AA"/>
    <w:rsid w:val="00EE75A2"/>
    <w:rsid w:val="00EF02B9"/>
    <w:rsid w:val="00EF04DE"/>
    <w:rsid w:val="00EF1993"/>
    <w:rsid w:val="00EF2C96"/>
    <w:rsid w:val="00EF38B1"/>
    <w:rsid w:val="00EF460E"/>
    <w:rsid w:val="00F064FB"/>
    <w:rsid w:val="00F07A99"/>
    <w:rsid w:val="00F1252E"/>
    <w:rsid w:val="00F13B29"/>
    <w:rsid w:val="00F14DB6"/>
    <w:rsid w:val="00F16F4C"/>
    <w:rsid w:val="00F17462"/>
    <w:rsid w:val="00F20A03"/>
    <w:rsid w:val="00F216F1"/>
    <w:rsid w:val="00F22179"/>
    <w:rsid w:val="00F221F6"/>
    <w:rsid w:val="00F23037"/>
    <w:rsid w:val="00F234A7"/>
    <w:rsid w:val="00F23DD0"/>
    <w:rsid w:val="00F247AF"/>
    <w:rsid w:val="00F26300"/>
    <w:rsid w:val="00F2714B"/>
    <w:rsid w:val="00F27375"/>
    <w:rsid w:val="00F278D5"/>
    <w:rsid w:val="00F304AC"/>
    <w:rsid w:val="00F3075C"/>
    <w:rsid w:val="00F31F3E"/>
    <w:rsid w:val="00F34EA5"/>
    <w:rsid w:val="00F41343"/>
    <w:rsid w:val="00F42030"/>
    <w:rsid w:val="00F43F1F"/>
    <w:rsid w:val="00F4438E"/>
    <w:rsid w:val="00F445D1"/>
    <w:rsid w:val="00F45D66"/>
    <w:rsid w:val="00F52E34"/>
    <w:rsid w:val="00F532AF"/>
    <w:rsid w:val="00F5506C"/>
    <w:rsid w:val="00F563AA"/>
    <w:rsid w:val="00F602DA"/>
    <w:rsid w:val="00F6158C"/>
    <w:rsid w:val="00F63D72"/>
    <w:rsid w:val="00F64D91"/>
    <w:rsid w:val="00F706B3"/>
    <w:rsid w:val="00F77D78"/>
    <w:rsid w:val="00F80EBC"/>
    <w:rsid w:val="00F83718"/>
    <w:rsid w:val="00F85282"/>
    <w:rsid w:val="00F85C5C"/>
    <w:rsid w:val="00F91E88"/>
    <w:rsid w:val="00F92384"/>
    <w:rsid w:val="00F932B7"/>
    <w:rsid w:val="00F932C1"/>
    <w:rsid w:val="00F944AA"/>
    <w:rsid w:val="00F94CD7"/>
    <w:rsid w:val="00F95859"/>
    <w:rsid w:val="00F96C90"/>
    <w:rsid w:val="00FA04C2"/>
    <w:rsid w:val="00FA085F"/>
    <w:rsid w:val="00FA16A4"/>
    <w:rsid w:val="00FA44DB"/>
    <w:rsid w:val="00FA5C2A"/>
    <w:rsid w:val="00FA5EE8"/>
    <w:rsid w:val="00FB00FD"/>
    <w:rsid w:val="00FB3850"/>
    <w:rsid w:val="00FB6672"/>
    <w:rsid w:val="00FC12CB"/>
    <w:rsid w:val="00FC3BDA"/>
    <w:rsid w:val="00FC4521"/>
    <w:rsid w:val="00FD12AE"/>
    <w:rsid w:val="00FD1710"/>
    <w:rsid w:val="00FD253E"/>
    <w:rsid w:val="00FD4116"/>
    <w:rsid w:val="00FD4CBF"/>
    <w:rsid w:val="00FD5BAB"/>
    <w:rsid w:val="00FD5D9B"/>
    <w:rsid w:val="00FE015D"/>
    <w:rsid w:val="00FE05F4"/>
    <w:rsid w:val="00FE06AF"/>
    <w:rsid w:val="00FE0A86"/>
    <w:rsid w:val="00FE15E4"/>
    <w:rsid w:val="00FE5285"/>
    <w:rsid w:val="00FE55EE"/>
    <w:rsid w:val="00FF144D"/>
    <w:rsid w:val="00FF27E4"/>
    <w:rsid w:val="00FF2C59"/>
    <w:rsid w:val="00FF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60CD"/>
    <w:pPr>
      <w:keepNext/>
      <w:autoSpaceDE w:val="0"/>
      <w:autoSpaceDN w:val="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3B6B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60CD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85105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510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510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F16F4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B60C1"/>
    <w:pPr>
      <w:tabs>
        <w:tab w:val="center" w:pos="4153"/>
        <w:tab w:val="right" w:pos="8306"/>
      </w:tabs>
    </w:pPr>
    <w:rPr>
      <w:rFonts w:ascii="TradeGothic" w:hAnsi="TradeGothic"/>
      <w:sz w:val="22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B60C1"/>
    <w:rPr>
      <w:rFonts w:ascii="TradeGothic" w:hAnsi="TradeGothic" w:cs="Times New Roman"/>
      <w:sz w:val="22"/>
      <w:lang w:val="x-none" w:eastAsia="en-US"/>
    </w:rPr>
  </w:style>
  <w:style w:type="paragraph" w:styleId="Footer">
    <w:name w:val="footer"/>
    <w:basedOn w:val="Normal"/>
    <w:link w:val="FooterChar"/>
    <w:uiPriority w:val="99"/>
    <w:rsid w:val="004404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0476"/>
    <w:rPr>
      <w:rFonts w:cs="Times New Roman"/>
      <w:sz w:val="24"/>
    </w:rPr>
  </w:style>
  <w:style w:type="paragraph" w:styleId="FootnoteText">
    <w:name w:val="footnote text"/>
    <w:basedOn w:val="Normal"/>
    <w:link w:val="FootnoteTextChar"/>
    <w:uiPriority w:val="99"/>
    <w:rsid w:val="00D81F4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81F40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D81F40"/>
    <w:rPr>
      <w:rFonts w:cs="Times New Roman"/>
      <w:vertAlign w:val="superscript"/>
    </w:rPr>
  </w:style>
  <w:style w:type="paragraph" w:styleId="ListParagraph">
    <w:name w:val="List Paragraph"/>
    <w:aliases w:val="F5 List Paragraph,List Paragraph1,Bullets,Dot pt,No Spacing1,List Paragraph Char Char Char,Indicator Text,Colorful List - Accent 11,Numbered Para 1,Bullet 1,Bullet Points,MAIN CONTENT,List Paragraph2,Normal numbered,OBC Bullet,Bullet Sty"/>
    <w:basedOn w:val="Normal"/>
    <w:link w:val="ListParagraphChar"/>
    <w:uiPriority w:val="34"/>
    <w:qFormat/>
    <w:rsid w:val="00B0240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F2714B"/>
    <w:rPr>
      <w:rFonts w:ascii="Calibr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2714B"/>
    <w:rPr>
      <w:rFonts w:ascii="Calibri" w:hAnsi="Calibri" w:cs="Times New Roman"/>
      <w:sz w:val="21"/>
      <w:lang w:val="x-none" w:eastAsia="en-US"/>
    </w:rPr>
  </w:style>
  <w:style w:type="paragraph" w:styleId="Revision">
    <w:name w:val="Revision"/>
    <w:hidden/>
    <w:uiPriority w:val="99"/>
    <w:semiHidden/>
    <w:rsid w:val="00391B93"/>
    <w:rPr>
      <w:sz w:val="24"/>
      <w:szCs w:val="24"/>
    </w:rPr>
  </w:style>
  <w:style w:type="paragraph" w:customStyle="1" w:styleId="Default">
    <w:name w:val="Default"/>
    <w:rsid w:val="00A53F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istParagraphChar">
    <w:name w:val="List Paragraph Char"/>
    <w:aliases w:val="F5 List Paragraph Char,List Paragraph1 Char,Bullets Char,Dot pt Char,No Spacing1 Char,List Paragraph Char Char Char Char,Indicator Text Char,Colorful List - Accent 11 Char,Numbered Para 1 Char,Bullet 1 Char,Bullet Points Char"/>
    <w:link w:val="ListParagraph"/>
    <w:uiPriority w:val="34"/>
    <w:qFormat/>
    <w:locked/>
    <w:rsid w:val="00564733"/>
    <w:rPr>
      <w:rFonts w:ascii="Calibri" w:hAnsi="Calibri"/>
      <w:sz w:val="22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60CD"/>
    <w:pPr>
      <w:keepNext/>
      <w:autoSpaceDE w:val="0"/>
      <w:autoSpaceDN w:val="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3B6B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60CD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85105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510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510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F16F4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B60C1"/>
    <w:pPr>
      <w:tabs>
        <w:tab w:val="center" w:pos="4153"/>
        <w:tab w:val="right" w:pos="8306"/>
      </w:tabs>
    </w:pPr>
    <w:rPr>
      <w:rFonts w:ascii="TradeGothic" w:hAnsi="TradeGothic"/>
      <w:sz w:val="22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B60C1"/>
    <w:rPr>
      <w:rFonts w:ascii="TradeGothic" w:hAnsi="TradeGothic" w:cs="Times New Roman"/>
      <w:sz w:val="22"/>
      <w:lang w:val="x-none" w:eastAsia="en-US"/>
    </w:rPr>
  </w:style>
  <w:style w:type="paragraph" w:styleId="Footer">
    <w:name w:val="footer"/>
    <w:basedOn w:val="Normal"/>
    <w:link w:val="FooterChar"/>
    <w:uiPriority w:val="99"/>
    <w:rsid w:val="004404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0476"/>
    <w:rPr>
      <w:rFonts w:cs="Times New Roman"/>
      <w:sz w:val="24"/>
    </w:rPr>
  </w:style>
  <w:style w:type="paragraph" w:styleId="FootnoteText">
    <w:name w:val="footnote text"/>
    <w:basedOn w:val="Normal"/>
    <w:link w:val="FootnoteTextChar"/>
    <w:uiPriority w:val="99"/>
    <w:rsid w:val="00D81F4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81F40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D81F40"/>
    <w:rPr>
      <w:rFonts w:cs="Times New Roman"/>
      <w:vertAlign w:val="superscript"/>
    </w:rPr>
  </w:style>
  <w:style w:type="paragraph" w:styleId="ListParagraph">
    <w:name w:val="List Paragraph"/>
    <w:aliases w:val="F5 List Paragraph,List Paragraph1,Bullets,Dot pt,No Spacing1,List Paragraph Char Char Char,Indicator Text,Colorful List - Accent 11,Numbered Para 1,Bullet 1,Bullet Points,MAIN CONTENT,List Paragraph2,Normal numbered,OBC Bullet,Bullet Sty"/>
    <w:basedOn w:val="Normal"/>
    <w:link w:val="ListParagraphChar"/>
    <w:uiPriority w:val="34"/>
    <w:qFormat/>
    <w:rsid w:val="00B0240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F2714B"/>
    <w:rPr>
      <w:rFonts w:ascii="Calibr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2714B"/>
    <w:rPr>
      <w:rFonts w:ascii="Calibri" w:hAnsi="Calibri" w:cs="Times New Roman"/>
      <w:sz w:val="21"/>
      <w:lang w:val="x-none" w:eastAsia="en-US"/>
    </w:rPr>
  </w:style>
  <w:style w:type="paragraph" w:styleId="Revision">
    <w:name w:val="Revision"/>
    <w:hidden/>
    <w:uiPriority w:val="99"/>
    <w:semiHidden/>
    <w:rsid w:val="00391B93"/>
    <w:rPr>
      <w:sz w:val="24"/>
      <w:szCs w:val="24"/>
    </w:rPr>
  </w:style>
  <w:style w:type="paragraph" w:customStyle="1" w:styleId="Default">
    <w:name w:val="Default"/>
    <w:rsid w:val="00A53F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istParagraphChar">
    <w:name w:val="List Paragraph Char"/>
    <w:aliases w:val="F5 List Paragraph Char,List Paragraph1 Char,Bullets Char,Dot pt Char,No Spacing1 Char,List Paragraph Char Char Char Char,Indicator Text Char,Colorful List - Accent 11 Char,Numbered Para 1 Char,Bullet 1 Char,Bullet Points Char"/>
    <w:link w:val="ListParagraph"/>
    <w:uiPriority w:val="34"/>
    <w:qFormat/>
    <w:locked/>
    <w:rsid w:val="00564733"/>
    <w:rPr>
      <w:rFonts w:ascii="Calibri" w:hAnsi="Calibri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14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2017-12-20T00:00:00+00:00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24CCCF01-F2E7-496E-91E4-1D7E1B99FBD8}"/>
</file>

<file path=customXml/itemProps2.xml><?xml version="1.0" encoding="utf-8"?>
<ds:datastoreItem xmlns:ds="http://schemas.openxmlformats.org/officeDocument/2006/customXml" ds:itemID="{CB613EAF-7B5C-4CE4-84E7-713D87608BDB}"/>
</file>

<file path=customXml/itemProps3.xml><?xml version="1.0" encoding="utf-8"?>
<ds:datastoreItem xmlns:ds="http://schemas.openxmlformats.org/officeDocument/2006/customXml" ds:itemID="{15A17350-D317-445F-A5BC-829EB9BEA38C}"/>
</file>

<file path=customXml/itemProps4.xml><?xml version="1.0" encoding="utf-8"?>
<ds:datastoreItem xmlns:ds="http://schemas.openxmlformats.org/officeDocument/2006/customXml" ds:itemID="{DFDCB676-0086-4751-A187-736CCF3F23A4}"/>
</file>

<file path=docProps/app.xml><?xml version="1.0" encoding="utf-8"?>
<Properties xmlns="http://schemas.openxmlformats.org/officeDocument/2006/extended-properties" xmlns:vt="http://schemas.openxmlformats.org/officeDocument/2006/docPropsVTypes">
  <Template>3D41D9A8</Template>
  <TotalTime>0</TotalTime>
  <Pages>3</Pages>
  <Words>886</Words>
  <Characters>5056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Written Statement</vt:lpstr>
    </vt:vector>
  </TitlesOfParts>
  <Company>Welsh Assembly Government</Company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Local Government Settlement 2018-19</dc:title>
  <dc:creator>powelld</dc:creator>
  <cp:lastModifiedBy>Roberts, Tomos (OFMCO - Cabinet Division)</cp:lastModifiedBy>
  <cp:revision>2</cp:revision>
  <cp:lastPrinted>2015-12-08T14:13:00Z</cp:lastPrinted>
  <dcterms:created xsi:type="dcterms:W3CDTF">2017-12-20T11:13:00Z</dcterms:created>
  <dcterms:modified xsi:type="dcterms:W3CDTF">2017-12-20T11:13:00Z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A15357772</vt:lpwstr>
  </property>
  <property fmtid="{D5CDD505-2E9C-101B-9397-08002B2CF9AE}" pid="3" name="Objective-Title">
    <vt:lpwstr>LGFP - Provisional Local Government Revenue and Capital Settlement for 2017-18 - Written Statement - English</vt:lpwstr>
  </property>
  <property fmtid="{D5CDD505-2E9C-101B-9397-08002B2CF9AE}" pid="4" name="Objective-Comment">
    <vt:lpwstr/>
  </property>
  <property fmtid="{D5CDD505-2E9C-101B-9397-08002B2CF9AE}" pid="5" name="Objective-CreationStamp">
    <vt:filetime>2016-09-09T00:00:00Z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2016-10-06T00:00:00Z</vt:filetime>
  </property>
  <property fmtid="{D5CDD505-2E9C-101B-9397-08002B2CF9AE}" pid="9" name="Objective-ModificationStamp">
    <vt:filetime>2016-10-06T00:00:00Z</vt:filetime>
  </property>
  <property fmtid="{D5CDD505-2E9C-101B-9397-08002B2CF9AE}" pid="10" name="Objective-Owner">
    <vt:lpwstr>Swain, Kim (EPS - LGFP)</vt:lpwstr>
  </property>
  <property fmtid="{D5CDD505-2E9C-101B-9397-08002B2CF9AE}" pid="11" name="Objective-Path">
    <vt:lpwstr>Objective Global Folder:Corporate File Plan:WORKING WITH STAKEHOLDERS:Working with Stakeholders - Public Sector Organisations:Working with Stakeholders - Public Sector - Local Authorities - Non EU Funded:Local Authorities - 2017-2018 - Unitary Authorities</vt:lpwstr>
  </property>
  <property fmtid="{D5CDD505-2E9C-101B-9397-08002B2CF9AE}" pid="12" name="Objective-Parent">
    <vt:lpwstr>Local Authorities - 2017-2018 - Unitary Authorities Settlement - Reports &amp; Outputs</vt:lpwstr>
  </property>
  <property fmtid="{D5CDD505-2E9C-101B-9397-08002B2CF9AE}" pid="13" name="Objective-State">
    <vt:lpwstr>Published</vt:lpwstr>
  </property>
  <property fmtid="{D5CDD505-2E9C-101B-9397-08002B2CF9AE}" pid="14" name="Objective-Version">
    <vt:lpwstr>18.0</vt:lpwstr>
  </property>
  <property fmtid="{D5CDD505-2E9C-101B-9397-08002B2CF9AE}" pid="15" name="Objective-VersionNumber">
    <vt:r8>19</vt:r8>
  </property>
  <property fmtid="{D5CDD505-2E9C-101B-9397-08002B2CF9AE}" pid="16" name="Objective-VersionComment">
    <vt:lpwstr/>
  </property>
  <property fmtid="{D5CDD505-2E9C-101B-9397-08002B2CF9AE}" pid="17" name="Objective-FileNumber">
    <vt:lpwstr>qA1253019</vt:lpwstr>
  </property>
  <property fmtid="{D5CDD505-2E9C-101B-9397-08002B2CF9AE}" pid="18" name="Objective-Classification">
    <vt:lpwstr>[Inherited - Official]</vt:lpwstr>
  </property>
  <property fmtid="{D5CDD505-2E9C-101B-9397-08002B2CF9AE}" pid="19" name="Objective-Caveats">
    <vt:lpwstr/>
  </property>
  <property fmtid="{D5CDD505-2E9C-101B-9397-08002B2CF9AE}" pid="20" name="Objective-Language [system]">
    <vt:lpwstr>English (eng)</vt:lpwstr>
  </property>
  <property fmtid="{D5CDD505-2E9C-101B-9397-08002B2CF9AE}" pid="21" name="Objective-Date Acquired [system]">
    <vt:lpwstr/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/>
  </property>
  <property fmtid="{D5CDD505-2E9C-101B-9397-08002B2CF9AE}" pid="24" name="Objective-Connect Creator [system]">
    <vt:lpwstr/>
  </property>
  <property fmtid="{D5CDD505-2E9C-101B-9397-08002B2CF9AE}" pid="25" name="ContentTypeId">
    <vt:lpwstr>0x010100C32B317B5CB4014E8FDC61FB98CB49750066DDDDA8424970449BEE8C4A4D2809D6</vt:lpwstr>
  </property>
</Properties>
</file>