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D438" w14:textId="77777777" w:rsidR="001A39E2" w:rsidRDefault="001A39E2" w:rsidP="001A39E2">
      <w:pPr>
        <w:jc w:val="right"/>
        <w:rPr>
          <w:b/>
        </w:rPr>
      </w:pPr>
    </w:p>
    <w:p w14:paraId="0D2348EE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285BD7" wp14:editId="29582D7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BC38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DB18B1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F3270F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D2370C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3A9F748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6D4BFFD" wp14:editId="1AD628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6B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52C70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0441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C13C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E75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0ED5CA" w14:textId="77777777" w:rsidR="00EA5290" w:rsidRPr="00670227" w:rsidRDefault="00473077" w:rsidP="00C633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73077">
              <w:rPr>
                <w:rFonts w:ascii="Arial" w:hAnsi="Arial" w:cs="Arial"/>
                <w:b/>
                <w:bCs/>
                <w:sz w:val="24"/>
                <w:lang w:eastAsia="en-GB"/>
              </w:rPr>
              <w:t>Escalation and Intervention Arrangements</w:t>
            </w:r>
            <w:r w:rsidR="009D5B7C">
              <w:rPr>
                <w:rFonts w:ascii="Arial" w:hAnsi="Arial" w:cs="Arial"/>
                <w:b/>
                <w:bCs/>
                <w:sz w:val="24"/>
                <w:lang w:eastAsia="en-GB"/>
              </w:rPr>
              <w:t xml:space="preserve"> </w:t>
            </w:r>
            <w:bookmarkEnd w:id="0"/>
          </w:p>
        </w:tc>
      </w:tr>
      <w:tr w:rsidR="00EA5290" w:rsidRPr="00A011A1" w14:paraId="274D29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157A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07B3" w14:textId="77777777" w:rsidR="00EA5290" w:rsidRPr="00670227" w:rsidRDefault="000177D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 </w:t>
            </w:r>
            <w:r w:rsidR="0030029A">
              <w:rPr>
                <w:rFonts w:ascii="Arial" w:hAnsi="Arial" w:cs="Arial"/>
                <w:b/>
                <w:bCs/>
                <w:sz w:val="24"/>
                <w:szCs w:val="24"/>
              </w:rPr>
              <w:t>January 2020</w:t>
            </w:r>
          </w:p>
        </w:tc>
      </w:tr>
      <w:tr w:rsidR="00EA5290" w:rsidRPr="00A011A1" w14:paraId="7CDC7D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E696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D6085" w14:textId="77777777" w:rsidR="00EA5290" w:rsidRPr="00670227" w:rsidRDefault="00473077" w:rsidP="00002D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AM, 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and S</w:t>
            </w:r>
            <w:r w:rsidR="00002D72">
              <w:rPr>
                <w:rFonts w:ascii="Arial" w:hAnsi="Arial" w:cs="Arial"/>
                <w:b/>
                <w:bCs/>
                <w:sz w:val="24"/>
                <w:szCs w:val="24"/>
              </w:rPr>
              <w:t>ocial Services</w:t>
            </w:r>
          </w:p>
        </w:tc>
      </w:tr>
    </w:tbl>
    <w:p w14:paraId="31BCC24F" w14:textId="77777777" w:rsidR="00EA5290" w:rsidRPr="00A011A1" w:rsidRDefault="00EA5290" w:rsidP="00EA5290"/>
    <w:p w14:paraId="31771902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Under the Joint Escalation and Intervention Arrangements, Welsh Government </w:t>
      </w:r>
      <w:r w:rsidR="0051300A">
        <w:rPr>
          <w:rFonts w:ascii="Arial" w:eastAsia="Calibri" w:hAnsi="Arial" w:cs="Arial"/>
          <w:sz w:val="24"/>
          <w:szCs w:val="24"/>
        </w:rPr>
        <w:t xml:space="preserve">officials </w:t>
      </w:r>
      <w:r w:rsidRPr="00F85FFA">
        <w:rPr>
          <w:rFonts w:ascii="Arial" w:eastAsia="Calibri" w:hAnsi="Arial" w:cs="Arial"/>
          <w:sz w:val="24"/>
          <w:szCs w:val="24"/>
        </w:rPr>
        <w:t>meet with the Wales Audit Office and Healthcare Inspectorate Wales twice a year to discuss the overall position of each health board and NHS trust in respect of quality, service performance and financial management.  A wide range of information and intelligence is considered to identify any issues and inform the assessment.</w:t>
      </w:r>
    </w:p>
    <w:p w14:paraId="41072011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49660ACF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It was agreed that the escalation status of each NHS organisation would be published. </w:t>
      </w:r>
    </w:p>
    <w:p w14:paraId="6AB990D9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6BF6B304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 framework has four escalation levels:</w:t>
      </w:r>
    </w:p>
    <w:p w14:paraId="723E86A7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63C0AB94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Routine arrangements</w:t>
      </w:r>
    </w:p>
    <w:p w14:paraId="718330CB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Enhanced monitoring</w:t>
      </w:r>
    </w:p>
    <w:p w14:paraId="50F3C864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 xml:space="preserve">Targeted intervention </w:t>
      </w:r>
    </w:p>
    <w:p w14:paraId="335B8CDB" w14:textId="77777777" w:rsidR="00C633AE" w:rsidRPr="00F85FFA" w:rsidRDefault="00C633AE" w:rsidP="00F85FFA">
      <w:pPr>
        <w:pStyle w:val="ListParagraph"/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Special measures.</w:t>
      </w:r>
    </w:p>
    <w:p w14:paraId="5A376FF2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</w:p>
    <w:p w14:paraId="1BCE6E35" w14:textId="77777777" w:rsidR="00833A16" w:rsidRPr="0030029A" w:rsidRDefault="00C633AE" w:rsidP="0030029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</w:t>
      </w:r>
      <w:r w:rsidR="00AC5CCA" w:rsidRPr="00F85FFA">
        <w:rPr>
          <w:rFonts w:ascii="Arial" w:eastAsia="Calibri" w:hAnsi="Arial" w:cs="Arial"/>
          <w:sz w:val="24"/>
          <w:szCs w:val="24"/>
        </w:rPr>
        <w:t xml:space="preserve"> latest meeting took place in </w:t>
      </w:r>
      <w:r w:rsidR="0030029A">
        <w:rPr>
          <w:rFonts w:ascii="Arial" w:eastAsia="Calibri" w:hAnsi="Arial" w:cs="Arial"/>
          <w:sz w:val="24"/>
          <w:szCs w:val="24"/>
        </w:rPr>
        <w:t>December 2019</w:t>
      </w:r>
      <w:r w:rsidR="00AC5CCA" w:rsidRPr="00F85FFA">
        <w:rPr>
          <w:rFonts w:ascii="Arial" w:eastAsia="Calibri" w:hAnsi="Arial" w:cs="Arial"/>
          <w:sz w:val="24"/>
          <w:szCs w:val="24"/>
        </w:rPr>
        <w:t xml:space="preserve"> and the</w:t>
      </w:r>
      <w:r w:rsidRPr="00F85FFA">
        <w:rPr>
          <w:rFonts w:ascii="Arial" w:eastAsia="Calibri" w:hAnsi="Arial" w:cs="Arial"/>
          <w:sz w:val="24"/>
          <w:szCs w:val="24"/>
        </w:rPr>
        <w:t xml:space="preserve"> tripartite group considered </w:t>
      </w:r>
      <w:r w:rsidR="00730921">
        <w:rPr>
          <w:rFonts w:ascii="Arial" w:eastAsia="Calibri" w:hAnsi="Arial" w:cs="Arial"/>
          <w:sz w:val="24"/>
          <w:szCs w:val="24"/>
        </w:rPr>
        <w:t>the position</w:t>
      </w:r>
      <w:r w:rsidRPr="00F85FFA">
        <w:rPr>
          <w:rFonts w:ascii="Arial" w:eastAsia="Calibri" w:hAnsi="Arial" w:cs="Arial"/>
          <w:sz w:val="24"/>
          <w:szCs w:val="24"/>
        </w:rPr>
        <w:t xml:space="preserve"> </w:t>
      </w:r>
      <w:r w:rsidR="00730921">
        <w:rPr>
          <w:rFonts w:ascii="Arial" w:eastAsia="Calibri" w:hAnsi="Arial" w:cs="Arial"/>
          <w:sz w:val="24"/>
          <w:szCs w:val="24"/>
        </w:rPr>
        <w:t xml:space="preserve">of all organisations since the </w:t>
      </w:r>
      <w:r w:rsidR="00C25C99">
        <w:rPr>
          <w:rFonts w:ascii="Arial" w:eastAsia="Calibri" w:hAnsi="Arial" w:cs="Arial"/>
          <w:sz w:val="24"/>
          <w:szCs w:val="24"/>
        </w:rPr>
        <w:t>previous</w:t>
      </w:r>
      <w:r w:rsidR="00730921">
        <w:rPr>
          <w:rFonts w:ascii="Arial" w:eastAsia="Calibri" w:hAnsi="Arial" w:cs="Arial"/>
          <w:sz w:val="24"/>
          <w:szCs w:val="24"/>
        </w:rPr>
        <w:t xml:space="preserve"> meeting in August 2019.</w:t>
      </w:r>
      <w:r w:rsidR="00506A90">
        <w:rPr>
          <w:rFonts w:ascii="Arial" w:eastAsia="Calibri" w:hAnsi="Arial" w:cs="Arial"/>
          <w:sz w:val="24"/>
          <w:szCs w:val="24"/>
        </w:rPr>
        <w:t xml:space="preserve">  Following </w:t>
      </w:r>
      <w:r w:rsidR="00F267C8">
        <w:rPr>
          <w:rFonts w:ascii="Arial" w:eastAsia="Calibri" w:hAnsi="Arial" w:cs="Arial"/>
          <w:sz w:val="24"/>
          <w:szCs w:val="24"/>
        </w:rPr>
        <w:t xml:space="preserve">the collective </w:t>
      </w:r>
      <w:r w:rsidR="00506A90">
        <w:rPr>
          <w:rFonts w:ascii="Arial" w:eastAsia="Calibri" w:hAnsi="Arial" w:cs="Arial"/>
          <w:sz w:val="24"/>
          <w:szCs w:val="24"/>
        </w:rPr>
        <w:t xml:space="preserve">discussions, </w:t>
      </w:r>
      <w:r w:rsidR="00F267C8">
        <w:rPr>
          <w:rFonts w:ascii="Arial" w:eastAsia="Calibri" w:hAnsi="Arial" w:cs="Arial"/>
          <w:sz w:val="24"/>
          <w:szCs w:val="24"/>
        </w:rPr>
        <w:t>the Minister</w:t>
      </w:r>
      <w:r w:rsidR="00506A90">
        <w:rPr>
          <w:rFonts w:ascii="Arial" w:eastAsia="Calibri" w:hAnsi="Arial" w:cs="Arial"/>
          <w:sz w:val="24"/>
          <w:szCs w:val="24"/>
        </w:rPr>
        <w:t xml:space="preserve"> </w:t>
      </w:r>
      <w:r w:rsidR="00F267C8">
        <w:rPr>
          <w:rFonts w:ascii="Arial" w:eastAsia="Calibri" w:hAnsi="Arial" w:cs="Arial"/>
          <w:sz w:val="24"/>
          <w:szCs w:val="24"/>
        </w:rPr>
        <w:t>has received advice</w:t>
      </w:r>
      <w:r w:rsidR="00D70708">
        <w:rPr>
          <w:rFonts w:ascii="Arial" w:eastAsia="Calibri" w:hAnsi="Arial" w:cs="Arial"/>
          <w:sz w:val="24"/>
          <w:szCs w:val="24"/>
        </w:rPr>
        <w:t xml:space="preserve"> from officials</w:t>
      </w:r>
      <w:r w:rsidR="00F267C8">
        <w:rPr>
          <w:rFonts w:ascii="Arial" w:eastAsia="Calibri" w:hAnsi="Arial" w:cs="Arial"/>
          <w:sz w:val="24"/>
          <w:szCs w:val="24"/>
        </w:rPr>
        <w:t xml:space="preserve"> to retain </w:t>
      </w:r>
      <w:r w:rsidR="00506A90">
        <w:rPr>
          <w:rFonts w:ascii="Arial" w:eastAsia="Calibri" w:hAnsi="Arial" w:cs="Arial"/>
          <w:sz w:val="24"/>
          <w:szCs w:val="24"/>
        </w:rPr>
        <w:t>all organisations at their current escalation levels.</w:t>
      </w:r>
      <w:r w:rsidR="00730921">
        <w:rPr>
          <w:rFonts w:ascii="Arial" w:eastAsia="Calibri" w:hAnsi="Arial" w:cs="Arial"/>
          <w:sz w:val="24"/>
          <w:szCs w:val="24"/>
        </w:rPr>
        <w:t xml:space="preserve">  </w:t>
      </w:r>
    </w:p>
    <w:p w14:paraId="5966B22E" w14:textId="77777777" w:rsidR="00833A16" w:rsidRDefault="00833A16" w:rsidP="00833A16">
      <w:pPr>
        <w:pStyle w:val="NoSpacing"/>
      </w:pPr>
    </w:p>
    <w:p w14:paraId="53CE8120" w14:textId="77777777" w:rsidR="00833A16" w:rsidRDefault="0030029A" w:rsidP="00833A16">
      <w:pPr>
        <w:pStyle w:val="NoSpacing"/>
      </w:pPr>
      <w:r>
        <w:t>I</w:t>
      </w:r>
      <w:r w:rsidR="00833A16">
        <w:t>n Betsi Cadwaladr U</w:t>
      </w:r>
      <w:r w:rsidR="00DD09C5">
        <w:t xml:space="preserve">niversity </w:t>
      </w:r>
      <w:r w:rsidR="00833A16">
        <w:t>H</w:t>
      </w:r>
      <w:r w:rsidR="00DD09C5">
        <w:t xml:space="preserve">ealth </w:t>
      </w:r>
      <w:r w:rsidR="00833A16">
        <w:t>B</w:t>
      </w:r>
      <w:r w:rsidR="00DD09C5">
        <w:t>oard</w:t>
      </w:r>
      <w:r>
        <w:t>, d</w:t>
      </w:r>
      <w:r w:rsidR="00833A16">
        <w:t xml:space="preserve">espite improvements in some areas </w:t>
      </w:r>
      <w:r w:rsidR="008E6885">
        <w:t>such as</w:t>
      </w:r>
      <w:r w:rsidR="0051300A">
        <w:t xml:space="preserve"> mental health</w:t>
      </w:r>
      <w:r w:rsidR="00833A16">
        <w:t xml:space="preserve">, </w:t>
      </w:r>
      <w:r w:rsidR="00C25C99">
        <w:t>the health board</w:t>
      </w:r>
      <w:r w:rsidR="00833A16">
        <w:t xml:space="preserve"> still faces a challenging improvement agenda.  </w:t>
      </w:r>
      <w:r w:rsidR="007C4155">
        <w:t>Current</w:t>
      </w:r>
      <w:r w:rsidR="00833A16">
        <w:t xml:space="preserve"> performance in planned and unscheduled care, together with the forecast financial position</w:t>
      </w:r>
      <w:r w:rsidR="0051300A">
        <w:t>,</w:t>
      </w:r>
      <w:r w:rsidR="00833A16">
        <w:t xml:space="preserve"> </w:t>
      </w:r>
      <w:r w:rsidR="007C4155">
        <w:t>are</w:t>
      </w:r>
      <w:r w:rsidR="00833A16">
        <w:t xml:space="preserve"> of concern</w:t>
      </w:r>
      <w:r w:rsidR="00C54AEC">
        <w:t xml:space="preserve"> and remain key areas </w:t>
      </w:r>
      <w:r w:rsidR="0051300A">
        <w:t>in which I</w:t>
      </w:r>
      <w:r w:rsidR="00C54AEC">
        <w:t xml:space="preserve"> expect </w:t>
      </w:r>
      <w:r w:rsidR="0051300A">
        <w:t xml:space="preserve">to see </w:t>
      </w:r>
      <w:r w:rsidR="00272AA0">
        <w:t xml:space="preserve">meaningful </w:t>
      </w:r>
      <w:r w:rsidR="00C54AEC">
        <w:t>improvement</w:t>
      </w:r>
      <w:r w:rsidR="00833A16">
        <w:t>.</w:t>
      </w:r>
      <w:r w:rsidR="009F0BBB">
        <w:t xml:space="preserve">  </w:t>
      </w:r>
      <w:r w:rsidR="00FA1210">
        <w:t xml:space="preserve">There is also a concern there is no </w:t>
      </w:r>
      <w:r w:rsidR="00F267C8">
        <w:t xml:space="preserve">agreed </w:t>
      </w:r>
      <w:r w:rsidR="00FA1210">
        <w:t>clinical strategy in place</w:t>
      </w:r>
      <w:r w:rsidR="00272AA0">
        <w:t xml:space="preserve"> and </w:t>
      </w:r>
      <w:r w:rsidR="00DD09C5">
        <w:t>I expect further development on this front during the next quarter</w:t>
      </w:r>
      <w:r w:rsidR="00FA1210">
        <w:t xml:space="preserve">.  </w:t>
      </w:r>
      <w:r w:rsidR="00B025CE">
        <w:t>A</w:t>
      </w:r>
      <w:r w:rsidR="009F0BBB" w:rsidRPr="009F0BBB">
        <w:t xml:space="preserve"> revised improvement framework </w:t>
      </w:r>
      <w:r w:rsidR="00B025CE">
        <w:t xml:space="preserve">has recently been published </w:t>
      </w:r>
      <w:r w:rsidR="009F0BBB" w:rsidRPr="009F0BBB">
        <w:t>to clarify the progress</w:t>
      </w:r>
      <w:r w:rsidR="00DD09C5">
        <w:t xml:space="preserve"> the health board will need to demonstrate is being made in</w:t>
      </w:r>
      <w:r w:rsidR="009F0BBB" w:rsidRPr="009F0BBB">
        <w:t xml:space="preserve"> the outstanding special measures concerns.</w:t>
      </w:r>
    </w:p>
    <w:p w14:paraId="343C907A" w14:textId="77777777" w:rsidR="00833A16" w:rsidRDefault="00833A16" w:rsidP="00833A16">
      <w:pPr>
        <w:pStyle w:val="NoSpacing"/>
      </w:pPr>
    </w:p>
    <w:p w14:paraId="127F68B9" w14:textId="77777777" w:rsidR="00535AF2" w:rsidRPr="00535AF2" w:rsidRDefault="00833A16" w:rsidP="00B84B62">
      <w:pPr>
        <w:pStyle w:val="NoSpacing"/>
        <w:rPr>
          <w:rFonts w:cs="Arial"/>
          <w:szCs w:val="24"/>
        </w:rPr>
      </w:pPr>
      <w:r>
        <w:t>Wit</w:t>
      </w:r>
      <w:r w:rsidR="00FA1210">
        <w:t xml:space="preserve">h regards to Cwm Taf Morgannwg, </w:t>
      </w:r>
      <w:r w:rsidR="00FA1210" w:rsidRPr="00FA1210">
        <w:t xml:space="preserve">the group noted the positive </w:t>
      </w:r>
      <w:r w:rsidR="003F12AC">
        <w:t>manner</w:t>
      </w:r>
      <w:r w:rsidR="003F12AC" w:rsidRPr="00FA1210">
        <w:t xml:space="preserve"> </w:t>
      </w:r>
      <w:r w:rsidR="00FA1210" w:rsidRPr="00FA1210">
        <w:t>the health board ha</w:t>
      </w:r>
      <w:r w:rsidR="00FA1210">
        <w:t>d</w:t>
      </w:r>
      <w:r w:rsidR="00FA1210" w:rsidRPr="00FA1210">
        <w:t xml:space="preserve"> responded </w:t>
      </w:r>
      <w:r w:rsidR="00B025CE">
        <w:t xml:space="preserve">to the </w:t>
      </w:r>
      <w:r w:rsidR="00535AF2">
        <w:t xml:space="preserve">maternity services and governance concerns it faces </w:t>
      </w:r>
      <w:r w:rsidR="00FA1210" w:rsidRPr="00FA1210">
        <w:t xml:space="preserve">in an open and transparent manner, including how it is </w:t>
      </w:r>
      <w:r w:rsidR="003F12AC">
        <w:t xml:space="preserve">now </w:t>
      </w:r>
      <w:r w:rsidR="00FA1210" w:rsidRPr="00FA1210">
        <w:t>engaging with external review bodies.  However, the seriousness of the issues and the scale of the challenge that the organisation faces in achieving sustainable change and improvement remain considerable.</w:t>
      </w:r>
      <w:r w:rsidR="004B2DB9">
        <w:t xml:space="preserve"> </w:t>
      </w:r>
      <w:r w:rsidR="00FA1210" w:rsidRPr="00FA1210">
        <w:t xml:space="preserve"> It was noted that steps had</w:t>
      </w:r>
      <w:r w:rsidR="00535AF2">
        <w:t>,</w:t>
      </w:r>
      <w:r w:rsidR="00FA1210" w:rsidRPr="00FA1210">
        <w:t xml:space="preserve"> </w:t>
      </w:r>
      <w:r w:rsidR="00535AF2">
        <w:t xml:space="preserve">and continue to </w:t>
      </w:r>
      <w:r w:rsidR="004B2DB9">
        <w:t xml:space="preserve">be </w:t>
      </w:r>
      <w:r w:rsidR="004B2DB9" w:rsidRPr="00FA1210">
        <w:t>taken</w:t>
      </w:r>
      <w:r w:rsidR="00FA1210" w:rsidRPr="00FA1210">
        <w:t xml:space="preserve"> to enhance capacity and capability in a number of key areas</w:t>
      </w:r>
      <w:r w:rsidR="00535AF2">
        <w:t xml:space="preserve"> and a wide range of actions were </w:t>
      </w:r>
      <w:r w:rsidR="00535AF2">
        <w:lastRenderedPageBreak/>
        <w:t>underway</w:t>
      </w:r>
      <w:r w:rsidR="002E6927">
        <w:t>.</w:t>
      </w:r>
      <w:r w:rsidR="00506A90">
        <w:t xml:space="preserve">  </w:t>
      </w:r>
      <w:r w:rsidR="005E55B0">
        <w:rPr>
          <w:rFonts w:cs="Arial"/>
          <w:szCs w:val="24"/>
        </w:rPr>
        <w:t>Th</w:t>
      </w:r>
      <w:r w:rsidR="00535AF2">
        <w:rPr>
          <w:rFonts w:cs="Arial"/>
          <w:szCs w:val="24"/>
        </w:rPr>
        <w:t>is included responding</w:t>
      </w:r>
      <w:r w:rsidR="005E55B0">
        <w:rPr>
          <w:rFonts w:cs="Arial"/>
          <w:szCs w:val="24"/>
        </w:rPr>
        <w:t xml:space="preserve"> to the concerns that have been raised around the culture within the organisation </w:t>
      </w:r>
      <w:r w:rsidR="00B84B62">
        <w:rPr>
          <w:rFonts w:cs="Arial"/>
          <w:szCs w:val="24"/>
        </w:rPr>
        <w:t>and the need to rebuild patient, public, staff and stakeholder confidence and trust.</w:t>
      </w:r>
      <w:r w:rsidR="004B2DB9">
        <w:rPr>
          <w:rFonts w:cs="Arial"/>
          <w:szCs w:val="24"/>
        </w:rPr>
        <w:t xml:space="preserve"> </w:t>
      </w:r>
      <w:r w:rsidR="00B84B62">
        <w:rPr>
          <w:rFonts w:cs="Arial"/>
          <w:szCs w:val="24"/>
        </w:rPr>
        <w:t xml:space="preserve"> </w:t>
      </w:r>
      <w:r w:rsidR="00535AF2" w:rsidRPr="00535AF2">
        <w:rPr>
          <w:rFonts w:cs="Arial"/>
          <w:szCs w:val="24"/>
        </w:rPr>
        <w:t>Ensuring rapid improvements are made in how the organisation responds to patient concerns and complaints will be an essential component of this.</w:t>
      </w:r>
    </w:p>
    <w:p w14:paraId="3CE130DD" w14:textId="77777777" w:rsidR="00506A90" w:rsidRDefault="00506A90" w:rsidP="00833A16">
      <w:pPr>
        <w:pStyle w:val="NoSpacing"/>
        <w:rPr>
          <w:rFonts w:cs="Arial"/>
          <w:szCs w:val="24"/>
        </w:rPr>
      </w:pPr>
    </w:p>
    <w:p w14:paraId="261C55D8" w14:textId="77777777" w:rsidR="00506A90" w:rsidRDefault="00506A90" w:rsidP="00833A16">
      <w:pPr>
        <w:pStyle w:val="NoSpacing"/>
      </w:pPr>
      <w:r>
        <w:t xml:space="preserve">With regards to Swansea Bay, </w:t>
      </w:r>
      <w:r w:rsidR="000662E9">
        <w:t>to the group noted</w:t>
      </w:r>
      <w:r>
        <w:t xml:space="preserve"> concerns around the financial position and the ability of the health board to meet its financial requirements, as well as </w:t>
      </w:r>
      <w:r w:rsidR="003F12AC">
        <w:t xml:space="preserve">a </w:t>
      </w:r>
      <w:r>
        <w:t>deteriorating performance in unscheduled care and planned care.</w:t>
      </w:r>
    </w:p>
    <w:p w14:paraId="281604DB" w14:textId="77777777" w:rsidR="00506A90" w:rsidRDefault="00506A90" w:rsidP="00833A16">
      <w:pPr>
        <w:pStyle w:val="NoSpacing"/>
      </w:pPr>
    </w:p>
    <w:p w14:paraId="6FC500AD" w14:textId="77777777" w:rsidR="00833A16" w:rsidRDefault="007E5762" w:rsidP="00833A16">
      <w:pPr>
        <w:pStyle w:val="NoSpacing"/>
      </w:pPr>
      <w:r>
        <w:t xml:space="preserve">For Hywel </w:t>
      </w:r>
      <w:proofErr w:type="spellStart"/>
      <w:r>
        <w:t>Dda</w:t>
      </w:r>
      <w:proofErr w:type="spellEnd"/>
      <w:r>
        <w:t xml:space="preserve">, </w:t>
      </w:r>
      <w:r w:rsidR="003F12AC">
        <w:t xml:space="preserve">noting progress over the last couple of years, </w:t>
      </w:r>
      <w:r>
        <w:t xml:space="preserve">the group noted the continued challenge around the financial position for the health board to meet its financial obligations, as well as challenges in out of </w:t>
      </w:r>
      <w:proofErr w:type="gramStart"/>
      <w:r>
        <w:t>hours</w:t>
      </w:r>
      <w:proofErr w:type="gramEnd"/>
      <w:r>
        <w:t xml:space="preserve"> provision.</w:t>
      </w:r>
    </w:p>
    <w:p w14:paraId="73B7D2BF" w14:textId="77777777" w:rsidR="007E5762" w:rsidRDefault="007E5762" w:rsidP="00833A16">
      <w:pPr>
        <w:pStyle w:val="NoSpacing"/>
      </w:pPr>
    </w:p>
    <w:p w14:paraId="6E1CEAC9" w14:textId="77777777" w:rsidR="007E5762" w:rsidRDefault="007E5762" w:rsidP="00833A16">
      <w:pPr>
        <w:pStyle w:val="NoSpacing"/>
      </w:pPr>
      <w:r>
        <w:t xml:space="preserve">For Aneurin Bevan, </w:t>
      </w:r>
      <w:r w:rsidR="003F12AC">
        <w:t xml:space="preserve">there was discussion </w:t>
      </w:r>
      <w:r>
        <w:t>around the deterioration in performance in both unscheduled care and planned care</w:t>
      </w:r>
      <w:r w:rsidR="003F12AC">
        <w:t xml:space="preserve"> and having to see clear actions in response of this</w:t>
      </w:r>
      <w:r>
        <w:t>.</w:t>
      </w:r>
      <w:r w:rsidR="00C2356A">
        <w:t xml:space="preserve">  </w:t>
      </w:r>
      <w:r w:rsidR="00C25C99">
        <w:t xml:space="preserve">  These matters will be kept under review</w:t>
      </w:r>
      <w:r w:rsidR="000662E9">
        <w:t xml:space="preserve"> as part of welsh Government’s routine monitoring of the Health Board</w:t>
      </w:r>
      <w:r w:rsidR="00C25C99">
        <w:t>.</w:t>
      </w:r>
    </w:p>
    <w:p w14:paraId="66681588" w14:textId="77777777" w:rsidR="00180227" w:rsidRDefault="00180227" w:rsidP="00833A16">
      <w:pPr>
        <w:pStyle w:val="NoSpacing"/>
      </w:pPr>
    </w:p>
    <w:p w14:paraId="420EEDA1" w14:textId="77777777" w:rsidR="00C633AE" w:rsidRPr="00F85FFA" w:rsidRDefault="00C633AE" w:rsidP="00F85FFA">
      <w:pPr>
        <w:rPr>
          <w:rFonts w:ascii="Arial" w:eastAsia="Calibri" w:hAnsi="Arial" w:cs="Arial"/>
          <w:sz w:val="24"/>
          <w:szCs w:val="24"/>
        </w:rPr>
      </w:pPr>
      <w:r w:rsidRPr="00F85FFA">
        <w:rPr>
          <w:rFonts w:ascii="Arial" w:eastAsia="Calibri" w:hAnsi="Arial" w:cs="Arial"/>
          <w:sz w:val="24"/>
          <w:szCs w:val="24"/>
        </w:rPr>
        <w:t>The table below shows the previous and current escalation status of each organisation.</w:t>
      </w:r>
    </w:p>
    <w:p w14:paraId="51BF108E" w14:textId="77777777" w:rsidR="00833A16" w:rsidRDefault="00833A1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110"/>
        <w:gridCol w:w="3110"/>
      </w:tblGrid>
      <w:tr w:rsidR="00F85FFA" w:rsidRPr="00C633AE" w14:paraId="3D5AC1A0" w14:textId="77777777" w:rsidTr="00FA1210">
        <w:tc>
          <w:tcPr>
            <w:tcW w:w="2835" w:type="dxa"/>
            <w:shd w:val="clear" w:color="auto" w:fill="BFBFBF"/>
          </w:tcPr>
          <w:p w14:paraId="29EAF3F9" w14:textId="77777777" w:rsidR="00F85FFA" w:rsidRPr="00C633AE" w:rsidRDefault="00F85FFA" w:rsidP="00C633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3AE">
              <w:rPr>
                <w:rFonts w:ascii="Arial" w:hAnsi="Arial" w:cs="Arial"/>
                <w:b/>
                <w:sz w:val="24"/>
                <w:szCs w:val="24"/>
              </w:rPr>
              <w:lastRenderedPageBreak/>
              <w:t>Organisation</w:t>
            </w:r>
          </w:p>
        </w:tc>
        <w:tc>
          <w:tcPr>
            <w:tcW w:w="3110" w:type="dxa"/>
            <w:shd w:val="clear" w:color="auto" w:fill="BFBFBF"/>
          </w:tcPr>
          <w:p w14:paraId="359E6FE0" w14:textId="77777777" w:rsidR="00F85FFA" w:rsidRPr="00C633AE" w:rsidRDefault="00F85FFA" w:rsidP="00FA12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Previous </w:t>
            </w:r>
            <w:r w:rsidRPr="00C633AE">
              <w:rPr>
                <w:rFonts w:ascii="Arial" w:hAnsi="Arial" w:cs="Arial"/>
                <w:b/>
                <w:sz w:val="24"/>
                <w:szCs w:val="24"/>
              </w:rPr>
              <w:t>Status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FA1210">
              <w:rPr>
                <w:rFonts w:ascii="Arial" w:hAnsi="Arial" w:cs="Arial"/>
                <w:b/>
                <w:sz w:val="24"/>
                <w:szCs w:val="24"/>
              </w:rPr>
              <w:t>Aug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19)</w:t>
            </w:r>
          </w:p>
        </w:tc>
        <w:tc>
          <w:tcPr>
            <w:tcW w:w="3110" w:type="dxa"/>
            <w:shd w:val="clear" w:color="auto" w:fill="BFBFBF"/>
          </w:tcPr>
          <w:p w14:paraId="1A36A4BE" w14:textId="77777777" w:rsidR="00F85FFA" w:rsidRDefault="00F85FFA" w:rsidP="00FA12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Status (</w:t>
            </w:r>
            <w:r w:rsidR="00FA1210">
              <w:rPr>
                <w:rFonts w:ascii="Arial" w:hAnsi="Arial" w:cs="Arial"/>
                <w:b/>
                <w:sz w:val="24"/>
                <w:szCs w:val="24"/>
              </w:rPr>
              <w:t>Dec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19)</w:t>
            </w:r>
          </w:p>
        </w:tc>
      </w:tr>
      <w:tr w:rsidR="00F85FFA" w:rsidRPr="00C633AE" w14:paraId="6E4B95BB" w14:textId="77777777" w:rsidTr="00FA1210">
        <w:tc>
          <w:tcPr>
            <w:tcW w:w="2835" w:type="dxa"/>
          </w:tcPr>
          <w:p w14:paraId="5DC2DE3B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Aneurin Bevan UHB</w:t>
            </w:r>
          </w:p>
        </w:tc>
        <w:tc>
          <w:tcPr>
            <w:tcW w:w="3110" w:type="dxa"/>
          </w:tcPr>
          <w:p w14:paraId="17D465BD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4A4FB12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5EC1B5C8" w14:textId="77777777" w:rsidTr="00FA1210">
        <w:tc>
          <w:tcPr>
            <w:tcW w:w="2835" w:type="dxa"/>
          </w:tcPr>
          <w:p w14:paraId="64BC1719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Betsi Cadwaladr UHB</w:t>
            </w:r>
          </w:p>
        </w:tc>
        <w:tc>
          <w:tcPr>
            <w:tcW w:w="3110" w:type="dxa"/>
          </w:tcPr>
          <w:p w14:paraId="1ECF172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Special Measures</w:t>
            </w:r>
          </w:p>
        </w:tc>
        <w:tc>
          <w:tcPr>
            <w:tcW w:w="3110" w:type="dxa"/>
          </w:tcPr>
          <w:p w14:paraId="09B779A0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measures</w:t>
            </w:r>
          </w:p>
        </w:tc>
      </w:tr>
      <w:tr w:rsidR="00F85FFA" w:rsidRPr="00C633AE" w14:paraId="15ED62E4" w14:textId="77777777" w:rsidTr="00FA1210">
        <w:tc>
          <w:tcPr>
            <w:tcW w:w="2835" w:type="dxa"/>
          </w:tcPr>
          <w:p w14:paraId="48679E82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Cardiff and Vale UHB</w:t>
            </w:r>
          </w:p>
        </w:tc>
        <w:tc>
          <w:tcPr>
            <w:tcW w:w="3110" w:type="dxa"/>
          </w:tcPr>
          <w:p w14:paraId="4A38CDCC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Enhanced monitoring</w:t>
            </w:r>
          </w:p>
        </w:tc>
        <w:tc>
          <w:tcPr>
            <w:tcW w:w="3110" w:type="dxa"/>
          </w:tcPr>
          <w:p w14:paraId="003BEC85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0AB24C07" w14:textId="77777777" w:rsidTr="00FA1210">
        <w:tc>
          <w:tcPr>
            <w:tcW w:w="2835" w:type="dxa"/>
          </w:tcPr>
          <w:p w14:paraId="4EF77DA0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Cwm Taf </w:t>
            </w:r>
            <w:r>
              <w:rPr>
                <w:rFonts w:ascii="Arial" w:hAnsi="Arial" w:cs="Arial"/>
                <w:sz w:val="24"/>
                <w:szCs w:val="24"/>
              </w:rPr>
              <w:t xml:space="preserve">Morgannwg </w:t>
            </w:r>
            <w:r w:rsidRPr="00C633AE">
              <w:rPr>
                <w:rFonts w:ascii="Arial" w:hAnsi="Arial" w:cs="Arial"/>
                <w:sz w:val="24"/>
                <w:szCs w:val="24"/>
              </w:rPr>
              <w:t>UHB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110" w:type="dxa"/>
          </w:tcPr>
          <w:p w14:paraId="079B3F32" w14:textId="77777777" w:rsidR="00F85FFA" w:rsidRPr="00C633AE" w:rsidRDefault="00FA1210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FA1210">
              <w:rPr>
                <w:rFonts w:ascii="Arial" w:hAnsi="Arial" w:cs="Arial"/>
                <w:sz w:val="24"/>
                <w:szCs w:val="24"/>
              </w:rPr>
              <w:t>Special measures for maternity, targeted intervention for quality and governance</w:t>
            </w:r>
          </w:p>
        </w:tc>
        <w:tc>
          <w:tcPr>
            <w:tcW w:w="3110" w:type="dxa"/>
          </w:tcPr>
          <w:p w14:paraId="69D42592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measures for maternity, targeted intervention for quality and governance</w:t>
            </w:r>
          </w:p>
        </w:tc>
      </w:tr>
      <w:tr w:rsidR="00180227" w:rsidRPr="00C633AE" w14:paraId="2BA0516E" w14:textId="77777777" w:rsidTr="00FA1210">
        <w:tc>
          <w:tcPr>
            <w:tcW w:w="2835" w:type="dxa"/>
          </w:tcPr>
          <w:p w14:paraId="751B50ED" w14:textId="77777777" w:rsidR="00180227" w:rsidRPr="00C633AE" w:rsidRDefault="00180227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Education and Improvement Wales</w:t>
            </w:r>
          </w:p>
        </w:tc>
        <w:tc>
          <w:tcPr>
            <w:tcW w:w="3110" w:type="dxa"/>
          </w:tcPr>
          <w:p w14:paraId="33FC90A1" w14:textId="77777777" w:rsidR="00180227" w:rsidRPr="00C633AE" w:rsidRDefault="00FA1210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FA1210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7B454621" w14:textId="77777777" w:rsidR="00180227" w:rsidRDefault="00180227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6869726A" w14:textId="77777777" w:rsidTr="00FA1210">
        <w:tc>
          <w:tcPr>
            <w:tcW w:w="2835" w:type="dxa"/>
          </w:tcPr>
          <w:p w14:paraId="4060C31A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Hywel </w:t>
            </w: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Dda</w:t>
            </w:r>
            <w:proofErr w:type="spellEnd"/>
            <w:r w:rsidRPr="00C633AE">
              <w:rPr>
                <w:rFonts w:ascii="Arial" w:hAnsi="Arial" w:cs="Arial"/>
                <w:sz w:val="24"/>
                <w:szCs w:val="24"/>
              </w:rPr>
              <w:t xml:space="preserve"> UHB</w:t>
            </w:r>
          </w:p>
        </w:tc>
        <w:tc>
          <w:tcPr>
            <w:tcW w:w="3110" w:type="dxa"/>
          </w:tcPr>
          <w:p w14:paraId="5B2983A0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  <w:tc>
          <w:tcPr>
            <w:tcW w:w="3110" w:type="dxa"/>
          </w:tcPr>
          <w:p w14:paraId="62AB806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</w:tr>
      <w:tr w:rsidR="00F85FFA" w:rsidRPr="00C633AE" w14:paraId="65BC1EEA" w14:textId="77777777" w:rsidTr="00FA1210">
        <w:tc>
          <w:tcPr>
            <w:tcW w:w="2835" w:type="dxa"/>
          </w:tcPr>
          <w:p w14:paraId="3057308A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 xml:space="preserve">Powys </w:t>
            </w: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tHB</w:t>
            </w:r>
            <w:proofErr w:type="spellEnd"/>
          </w:p>
        </w:tc>
        <w:tc>
          <w:tcPr>
            <w:tcW w:w="3110" w:type="dxa"/>
          </w:tcPr>
          <w:p w14:paraId="1BEDE46B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10609EE3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03C566FE" w14:textId="77777777" w:rsidTr="00FA1210">
        <w:tc>
          <w:tcPr>
            <w:tcW w:w="2835" w:type="dxa"/>
          </w:tcPr>
          <w:p w14:paraId="7CFAD68A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Public Health Wales NHS Trust</w:t>
            </w:r>
          </w:p>
        </w:tc>
        <w:tc>
          <w:tcPr>
            <w:tcW w:w="3110" w:type="dxa"/>
          </w:tcPr>
          <w:p w14:paraId="3E055CAD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6EC12C17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0E82C296" w14:textId="77777777" w:rsidTr="00FA1210">
        <w:tc>
          <w:tcPr>
            <w:tcW w:w="2835" w:type="dxa"/>
          </w:tcPr>
          <w:p w14:paraId="470CE2D5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Swansea Bay UHB</w:t>
            </w:r>
          </w:p>
        </w:tc>
        <w:tc>
          <w:tcPr>
            <w:tcW w:w="3110" w:type="dxa"/>
          </w:tcPr>
          <w:p w14:paraId="5466E6EF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  <w:tc>
          <w:tcPr>
            <w:tcW w:w="3110" w:type="dxa"/>
          </w:tcPr>
          <w:p w14:paraId="0AB64BB3" w14:textId="77777777" w:rsidR="00F85FFA" w:rsidRPr="00C633AE" w:rsidRDefault="00F85FFA" w:rsidP="008D24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intervention</w:t>
            </w:r>
          </w:p>
        </w:tc>
      </w:tr>
      <w:tr w:rsidR="00F85FFA" w:rsidRPr="00C633AE" w14:paraId="1CADA4A0" w14:textId="77777777" w:rsidTr="00FA1210">
        <w:tc>
          <w:tcPr>
            <w:tcW w:w="2835" w:type="dxa"/>
          </w:tcPr>
          <w:p w14:paraId="496F9C9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633AE">
              <w:rPr>
                <w:rFonts w:ascii="Arial" w:hAnsi="Arial" w:cs="Arial"/>
                <w:sz w:val="24"/>
                <w:szCs w:val="24"/>
              </w:rPr>
              <w:t>Velindre</w:t>
            </w:r>
            <w:proofErr w:type="spellEnd"/>
            <w:r w:rsidRPr="00C633AE">
              <w:rPr>
                <w:rFonts w:ascii="Arial" w:hAnsi="Arial" w:cs="Arial"/>
                <w:sz w:val="24"/>
                <w:szCs w:val="24"/>
              </w:rPr>
              <w:t xml:space="preserve"> NHS Trust </w:t>
            </w:r>
          </w:p>
        </w:tc>
        <w:tc>
          <w:tcPr>
            <w:tcW w:w="3110" w:type="dxa"/>
          </w:tcPr>
          <w:p w14:paraId="59D6BA6C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1DBAA737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  <w:tr w:rsidR="00F85FFA" w:rsidRPr="00C633AE" w14:paraId="779FD082" w14:textId="77777777" w:rsidTr="00FA1210">
        <w:tc>
          <w:tcPr>
            <w:tcW w:w="2835" w:type="dxa"/>
          </w:tcPr>
          <w:p w14:paraId="4C915814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Welsh Ambulance Services NHS Trust</w:t>
            </w:r>
          </w:p>
        </w:tc>
        <w:tc>
          <w:tcPr>
            <w:tcW w:w="3110" w:type="dxa"/>
          </w:tcPr>
          <w:p w14:paraId="7EECDBD1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 w:rsidRPr="00C633AE"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  <w:tc>
          <w:tcPr>
            <w:tcW w:w="3110" w:type="dxa"/>
          </w:tcPr>
          <w:p w14:paraId="5FB9D7FC" w14:textId="77777777" w:rsidR="00F85FFA" w:rsidRPr="00C633AE" w:rsidRDefault="00F85FFA" w:rsidP="00C633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Routine arrangements</w:t>
            </w:r>
          </w:p>
        </w:tc>
      </w:tr>
    </w:tbl>
    <w:p w14:paraId="490F15FE" w14:textId="77777777" w:rsidR="00833A16" w:rsidRDefault="00833A16" w:rsidP="00C633AE">
      <w:pPr>
        <w:rPr>
          <w:rFonts w:ascii="Arial" w:hAnsi="Arial" w:cs="Arial"/>
          <w:sz w:val="20"/>
          <w:lang w:val="en-US"/>
        </w:rPr>
      </w:pPr>
    </w:p>
    <w:p w14:paraId="62CB9A65" w14:textId="77777777" w:rsidR="00C633AE" w:rsidRDefault="00C633AE" w:rsidP="00C633AE">
      <w:pPr>
        <w:rPr>
          <w:rFonts w:ascii="Arial" w:hAnsi="Arial" w:cs="Arial"/>
          <w:sz w:val="20"/>
          <w:lang w:val="en-US"/>
        </w:rPr>
      </w:pPr>
      <w:r w:rsidRPr="00C633AE">
        <w:rPr>
          <w:rFonts w:ascii="Arial" w:hAnsi="Arial" w:cs="Arial"/>
          <w:sz w:val="20"/>
          <w:lang w:val="en-US"/>
        </w:rPr>
        <w:t xml:space="preserve">* </w:t>
      </w:r>
      <w:r w:rsidR="00833A16">
        <w:rPr>
          <w:rFonts w:ascii="Arial" w:hAnsi="Arial" w:cs="Arial"/>
          <w:sz w:val="20"/>
          <w:lang w:val="en-US"/>
        </w:rPr>
        <w:t xml:space="preserve">The previous </w:t>
      </w:r>
      <w:r w:rsidRPr="00C633AE">
        <w:rPr>
          <w:rFonts w:ascii="Arial" w:hAnsi="Arial" w:cs="Arial"/>
          <w:sz w:val="20"/>
          <w:lang w:val="en-US"/>
        </w:rPr>
        <w:t xml:space="preserve">Cwm Taf UHB was escalated to </w:t>
      </w:r>
      <w:r w:rsidR="00BB37F4">
        <w:rPr>
          <w:rFonts w:ascii="Arial" w:hAnsi="Arial" w:cs="Arial"/>
          <w:sz w:val="20"/>
          <w:lang w:val="en-US"/>
        </w:rPr>
        <w:t>‘</w:t>
      </w:r>
      <w:r w:rsidRPr="00C633AE">
        <w:rPr>
          <w:rFonts w:ascii="Arial" w:hAnsi="Arial" w:cs="Arial"/>
          <w:sz w:val="20"/>
          <w:lang w:val="en-US"/>
        </w:rPr>
        <w:t>enhanced monitoring</w:t>
      </w:r>
      <w:r w:rsidR="00BB37F4">
        <w:rPr>
          <w:rFonts w:ascii="Arial" w:hAnsi="Arial" w:cs="Arial"/>
          <w:sz w:val="20"/>
          <w:lang w:val="en-US"/>
        </w:rPr>
        <w:t>’</w:t>
      </w:r>
      <w:r w:rsidRPr="00C633AE">
        <w:rPr>
          <w:rFonts w:ascii="Arial" w:hAnsi="Arial" w:cs="Arial"/>
          <w:sz w:val="20"/>
          <w:lang w:val="en-US"/>
        </w:rPr>
        <w:t xml:space="preserve"> at a meeting at the beginning of January 2019.</w:t>
      </w:r>
      <w:r w:rsidR="00F85FFA">
        <w:rPr>
          <w:rFonts w:ascii="Arial" w:hAnsi="Arial" w:cs="Arial"/>
          <w:sz w:val="20"/>
          <w:lang w:val="en-US"/>
        </w:rPr>
        <w:t xml:space="preserve">  At a meeting in April 2019, it was agreed to raise the escalation status</w:t>
      </w:r>
      <w:r w:rsidR="00833A16">
        <w:rPr>
          <w:rFonts w:ascii="Arial" w:hAnsi="Arial" w:cs="Arial"/>
          <w:sz w:val="20"/>
          <w:lang w:val="en-US"/>
        </w:rPr>
        <w:t xml:space="preserve"> of Cwm Taf Morgannwg</w:t>
      </w:r>
      <w:r w:rsidR="00F85FFA">
        <w:rPr>
          <w:rFonts w:ascii="Arial" w:hAnsi="Arial" w:cs="Arial"/>
          <w:sz w:val="20"/>
          <w:lang w:val="en-US"/>
        </w:rPr>
        <w:t xml:space="preserve"> to ‘Special measures’ for maternity services following the publication of the Royal College report and to ‘targeted intervention’ for governance and quality.</w:t>
      </w:r>
    </w:p>
    <w:p w14:paraId="37EF0ED3" w14:textId="77777777" w:rsidR="00DB4F60" w:rsidRDefault="00DB4F60" w:rsidP="00C633AE">
      <w:pPr>
        <w:rPr>
          <w:rFonts w:ascii="Arial" w:hAnsi="Arial" w:cs="Arial"/>
          <w:sz w:val="20"/>
          <w:lang w:val="en-US"/>
        </w:rPr>
      </w:pPr>
    </w:p>
    <w:p w14:paraId="69189156" w14:textId="77777777" w:rsidR="00DB4F60" w:rsidRPr="00C633AE" w:rsidRDefault="00DB4F60" w:rsidP="00C633AE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Following a boundary change in March 2019, Abertawe Bro Morgannwg and Cwm Taf UHBs became Swansea Bay and Cwm Taf Morgannwg UHBs.</w:t>
      </w:r>
    </w:p>
    <w:p w14:paraId="6E8C8487" w14:textId="77777777" w:rsidR="00C633AE" w:rsidRPr="00C633AE" w:rsidRDefault="00C633AE" w:rsidP="00C633AE">
      <w:pPr>
        <w:rPr>
          <w:rFonts w:ascii="Arial" w:hAnsi="Arial" w:cs="Arial"/>
          <w:sz w:val="24"/>
          <w:szCs w:val="24"/>
          <w:lang w:val="en-US"/>
        </w:rPr>
      </w:pPr>
    </w:p>
    <w:p w14:paraId="1FC52BA7" w14:textId="77777777" w:rsidR="00A845A9" w:rsidRDefault="00A845A9" w:rsidP="00A845A9"/>
    <w:sectPr w:rsidR="00A845A9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8DE9E" w14:textId="77777777" w:rsidR="001241BD" w:rsidRDefault="001241BD">
      <w:r>
        <w:separator/>
      </w:r>
    </w:p>
  </w:endnote>
  <w:endnote w:type="continuationSeparator" w:id="0">
    <w:p w14:paraId="232ABBB2" w14:textId="77777777" w:rsidR="001241BD" w:rsidRDefault="0012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510E3" w14:textId="77777777" w:rsidR="001241BD" w:rsidRDefault="001241BD">
      <w:r>
        <w:separator/>
      </w:r>
    </w:p>
  </w:footnote>
  <w:footnote w:type="continuationSeparator" w:id="0">
    <w:p w14:paraId="107639C0" w14:textId="77777777" w:rsidR="001241BD" w:rsidRDefault="0012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23CC" w14:textId="77777777" w:rsidR="00E00B73" w:rsidRDefault="00E00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74F9EF" wp14:editId="26A51912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D72"/>
    <w:rsid w:val="000177DF"/>
    <w:rsid w:val="00023B69"/>
    <w:rsid w:val="000433D7"/>
    <w:rsid w:val="000516D9"/>
    <w:rsid w:val="000554C7"/>
    <w:rsid w:val="000662E9"/>
    <w:rsid w:val="00076BEA"/>
    <w:rsid w:val="00082B81"/>
    <w:rsid w:val="00083CCD"/>
    <w:rsid w:val="00090C3D"/>
    <w:rsid w:val="00097118"/>
    <w:rsid w:val="000B1E50"/>
    <w:rsid w:val="000C3A52"/>
    <w:rsid w:val="000C53DB"/>
    <w:rsid w:val="001241BD"/>
    <w:rsid w:val="00134918"/>
    <w:rsid w:val="001460B1"/>
    <w:rsid w:val="001602D1"/>
    <w:rsid w:val="001625BF"/>
    <w:rsid w:val="0017102C"/>
    <w:rsid w:val="00180227"/>
    <w:rsid w:val="0019455D"/>
    <w:rsid w:val="001A39E2"/>
    <w:rsid w:val="001A6AF1"/>
    <w:rsid w:val="001B027C"/>
    <w:rsid w:val="001B288D"/>
    <w:rsid w:val="001C0CEF"/>
    <w:rsid w:val="001C532F"/>
    <w:rsid w:val="001D2E57"/>
    <w:rsid w:val="001E5224"/>
    <w:rsid w:val="00214B25"/>
    <w:rsid w:val="002166D1"/>
    <w:rsid w:val="00223E62"/>
    <w:rsid w:val="00224890"/>
    <w:rsid w:val="0022548B"/>
    <w:rsid w:val="002472E4"/>
    <w:rsid w:val="00272AA0"/>
    <w:rsid w:val="00273A5F"/>
    <w:rsid w:val="00274F08"/>
    <w:rsid w:val="002A5310"/>
    <w:rsid w:val="002B0735"/>
    <w:rsid w:val="002C11E1"/>
    <w:rsid w:val="002C204F"/>
    <w:rsid w:val="002C57B6"/>
    <w:rsid w:val="002E2F98"/>
    <w:rsid w:val="002E6927"/>
    <w:rsid w:val="002F0EB9"/>
    <w:rsid w:val="002F4E7C"/>
    <w:rsid w:val="002F53A9"/>
    <w:rsid w:val="0030029A"/>
    <w:rsid w:val="00314E36"/>
    <w:rsid w:val="003220C1"/>
    <w:rsid w:val="00356D7B"/>
    <w:rsid w:val="00357893"/>
    <w:rsid w:val="00365A87"/>
    <w:rsid w:val="003670C1"/>
    <w:rsid w:val="00370471"/>
    <w:rsid w:val="00376E0C"/>
    <w:rsid w:val="00385436"/>
    <w:rsid w:val="003A7B50"/>
    <w:rsid w:val="003B1503"/>
    <w:rsid w:val="003B3D64"/>
    <w:rsid w:val="003B67F4"/>
    <w:rsid w:val="003C5133"/>
    <w:rsid w:val="003E6C56"/>
    <w:rsid w:val="003E7F9A"/>
    <w:rsid w:val="003F12AC"/>
    <w:rsid w:val="0040384E"/>
    <w:rsid w:val="004117F4"/>
    <w:rsid w:val="00412673"/>
    <w:rsid w:val="0043031D"/>
    <w:rsid w:val="00461958"/>
    <w:rsid w:val="0046757C"/>
    <w:rsid w:val="00473077"/>
    <w:rsid w:val="0047740D"/>
    <w:rsid w:val="004A0683"/>
    <w:rsid w:val="004B2DB9"/>
    <w:rsid w:val="00504A78"/>
    <w:rsid w:val="00506A90"/>
    <w:rsid w:val="0051300A"/>
    <w:rsid w:val="005201BD"/>
    <w:rsid w:val="00520866"/>
    <w:rsid w:val="00520E41"/>
    <w:rsid w:val="005358F6"/>
    <w:rsid w:val="00535AF2"/>
    <w:rsid w:val="00560F1F"/>
    <w:rsid w:val="00574BB3"/>
    <w:rsid w:val="00580094"/>
    <w:rsid w:val="005A22E2"/>
    <w:rsid w:val="005B030B"/>
    <w:rsid w:val="005C3388"/>
    <w:rsid w:val="005D2A41"/>
    <w:rsid w:val="005D65C7"/>
    <w:rsid w:val="005D7663"/>
    <w:rsid w:val="005E55B0"/>
    <w:rsid w:val="00620957"/>
    <w:rsid w:val="006340F2"/>
    <w:rsid w:val="00634194"/>
    <w:rsid w:val="00652DFA"/>
    <w:rsid w:val="00654C0A"/>
    <w:rsid w:val="006633C7"/>
    <w:rsid w:val="00663F04"/>
    <w:rsid w:val="00667E6C"/>
    <w:rsid w:val="00670227"/>
    <w:rsid w:val="006814BD"/>
    <w:rsid w:val="00682971"/>
    <w:rsid w:val="00684A85"/>
    <w:rsid w:val="0069133F"/>
    <w:rsid w:val="006B1DFE"/>
    <w:rsid w:val="006B340E"/>
    <w:rsid w:val="006B461D"/>
    <w:rsid w:val="006C3905"/>
    <w:rsid w:val="006E0A2C"/>
    <w:rsid w:val="00703993"/>
    <w:rsid w:val="0070437B"/>
    <w:rsid w:val="007105A4"/>
    <w:rsid w:val="00710872"/>
    <w:rsid w:val="00716F46"/>
    <w:rsid w:val="00730921"/>
    <w:rsid w:val="0073380E"/>
    <w:rsid w:val="00743B79"/>
    <w:rsid w:val="007523BC"/>
    <w:rsid w:val="00752C48"/>
    <w:rsid w:val="00761C9F"/>
    <w:rsid w:val="007A05FB"/>
    <w:rsid w:val="007A2181"/>
    <w:rsid w:val="007A39B7"/>
    <w:rsid w:val="007B43B1"/>
    <w:rsid w:val="007B5260"/>
    <w:rsid w:val="007C24E7"/>
    <w:rsid w:val="007C4155"/>
    <w:rsid w:val="007C70D9"/>
    <w:rsid w:val="007D1402"/>
    <w:rsid w:val="007E5762"/>
    <w:rsid w:val="007F5E64"/>
    <w:rsid w:val="00800FA0"/>
    <w:rsid w:val="00812370"/>
    <w:rsid w:val="0082411A"/>
    <w:rsid w:val="00833A16"/>
    <w:rsid w:val="00835BF5"/>
    <w:rsid w:val="00836F2C"/>
    <w:rsid w:val="00841628"/>
    <w:rsid w:val="00844330"/>
    <w:rsid w:val="00846160"/>
    <w:rsid w:val="00846C49"/>
    <w:rsid w:val="00872DFE"/>
    <w:rsid w:val="00877BD2"/>
    <w:rsid w:val="008B081B"/>
    <w:rsid w:val="008B7927"/>
    <w:rsid w:val="008C19D8"/>
    <w:rsid w:val="008C6C22"/>
    <w:rsid w:val="008C765A"/>
    <w:rsid w:val="008D1E0B"/>
    <w:rsid w:val="008D24C2"/>
    <w:rsid w:val="008E6885"/>
    <w:rsid w:val="008F0CC6"/>
    <w:rsid w:val="008F789E"/>
    <w:rsid w:val="00905771"/>
    <w:rsid w:val="00905877"/>
    <w:rsid w:val="00907CFA"/>
    <w:rsid w:val="00953A46"/>
    <w:rsid w:val="0096108A"/>
    <w:rsid w:val="00967473"/>
    <w:rsid w:val="009729E1"/>
    <w:rsid w:val="00973090"/>
    <w:rsid w:val="00975ED1"/>
    <w:rsid w:val="0099427F"/>
    <w:rsid w:val="00995EEC"/>
    <w:rsid w:val="009A32C9"/>
    <w:rsid w:val="009A49B2"/>
    <w:rsid w:val="009A5E07"/>
    <w:rsid w:val="009B7221"/>
    <w:rsid w:val="009D26D8"/>
    <w:rsid w:val="009D5B7C"/>
    <w:rsid w:val="009D765B"/>
    <w:rsid w:val="009E100A"/>
    <w:rsid w:val="009E4974"/>
    <w:rsid w:val="009F06C3"/>
    <w:rsid w:val="009F0BBB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45A9"/>
    <w:rsid w:val="00A86958"/>
    <w:rsid w:val="00AA5651"/>
    <w:rsid w:val="00AA5848"/>
    <w:rsid w:val="00AA7750"/>
    <w:rsid w:val="00AA776B"/>
    <w:rsid w:val="00AC5CCA"/>
    <w:rsid w:val="00AD65F1"/>
    <w:rsid w:val="00AE064D"/>
    <w:rsid w:val="00AF056B"/>
    <w:rsid w:val="00AF6D0C"/>
    <w:rsid w:val="00B0161C"/>
    <w:rsid w:val="00B025CE"/>
    <w:rsid w:val="00B0429D"/>
    <w:rsid w:val="00B049B1"/>
    <w:rsid w:val="00B07C47"/>
    <w:rsid w:val="00B239BA"/>
    <w:rsid w:val="00B468BB"/>
    <w:rsid w:val="00B56FDA"/>
    <w:rsid w:val="00B6694F"/>
    <w:rsid w:val="00B81F17"/>
    <w:rsid w:val="00B84B62"/>
    <w:rsid w:val="00BB37F4"/>
    <w:rsid w:val="00C02A82"/>
    <w:rsid w:val="00C10F59"/>
    <w:rsid w:val="00C21D46"/>
    <w:rsid w:val="00C2356A"/>
    <w:rsid w:val="00C25C9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5B2D"/>
    <w:rsid w:val="00CD075E"/>
    <w:rsid w:val="00CF3DC5"/>
    <w:rsid w:val="00D017E2"/>
    <w:rsid w:val="00D10BA2"/>
    <w:rsid w:val="00D10D6B"/>
    <w:rsid w:val="00D16D97"/>
    <w:rsid w:val="00D27F42"/>
    <w:rsid w:val="00D5600A"/>
    <w:rsid w:val="00D70708"/>
    <w:rsid w:val="00D731BB"/>
    <w:rsid w:val="00D84713"/>
    <w:rsid w:val="00D85DD1"/>
    <w:rsid w:val="00DA1032"/>
    <w:rsid w:val="00DB2D91"/>
    <w:rsid w:val="00DB4F60"/>
    <w:rsid w:val="00DD09C5"/>
    <w:rsid w:val="00DD4072"/>
    <w:rsid w:val="00DD4B82"/>
    <w:rsid w:val="00E00B73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C0568"/>
    <w:rsid w:val="00ED6FD1"/>
    <w:rsid w:val="00EE721A"/>
    <w:rsid w:val="00EF761A"/>
    <w:rsid w:val="00F0272E"/>
    <w:rsid w:val="00F061CD"/>
    <w:rsid w:val="00F2438B"/>
    <w:rsid w:val="00F267C8"/>
    <w:rsid w:val="00F446E6"/>
    <w:rsid w:val="00F70219"/>
    <w:rsid w:val="00F80FBA"/>
    <w:rsid w:val="00F81C33"/>
    <w:rsid w:val="00F85FFA"/>
    <w:rsid w:val="00F97613"/>
    <w:rsid w:val="00FA1210"/>
    <w:rsid w:val="00FC2000"/>
    <w:rsid w:val="00FC7D0A"/>
    <w:rsid w:val="00FE6C27"/>
    <w:rsid w:val="00FF0966"/>
    <w:rsid w:val="00FF35D2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7C84F9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A28584685</value>
    </field>
    <field name="Objective-Title">
      <value order="0">MA-VG-0038-20 - Joint Escalation and Intervention Arrangements Statement</value>
    </field>
    <field name="Objective-Description">
      <value order="0"/>
    </field>
    <field name="Objective-CreationStamp">
      <value order="0">2020-01-06T14:22:34Z</value>
    </field>
    <field name="Objective-IsApproved">
      <value order="0">false</value>
    </field>
    <field name="Objective-IsPublished">
      <value order="0">true</value>
    </field>
    <field name="Objective-DatePublished">
      <value order="0">2020-01-15T09:13:55Z</value>
    </field>
    <field name="Objective-ModificationStamp">
      <value order="0">2020-01-15T09:13:55Z</value>
    </field>
    <field name="Objective-Owner">
      <value order="0">Rees, Martyn (HSS - Delivery &amp; Performance)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 Social Services - Ministerial Advice - Delivery &amp; Performance - 2020:MA/VG/0038/20 - Update Escalation Status of NHS Organisations</value>
    </field>
    <field name="Objective-Parent">
      <value order="0">MA/VG/0038/20 - Update Escalation Status of NHS Organisations</value>
    </field>
    <field name="Objective-State">
      <value order="0">Published</value>
    </field>
    <field name="Objective-VersionId">
      <value order="0">vA57160405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qA1413478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2020-01-16T00:00:00+00:00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E7D21C-332A-4AD9-84F2-C14D237320A8}"/>
</file>

<file path=customXml/itemProps3.xml><?xml version="1.0" encoding="utf-8"?>
<ds:datastoreItem xmlns:ds="http://schemas.openxmlformats.org/officeDocument/2006/customXml" ds:itemID="{F16351E1-F5A7-4BC9-A325-B477E4C3B7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16227-CFF7-455B-B0BE-57BF245A5F8E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fad5256b-9034-4098-a484-2992d39a629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674782E-7394-4806-8D05-1E4F1146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4245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Escalation and Intervention Arrangements</dc:title>
  <dc:creator>burnsc</dc:creator>
  <cp:lastModifiedBy>Oxenham, James (OFM - Cabinet Division)</cp:lastModifiedBy>
  <cp:revision>2</cp:revision>
  <cp:lastPrinted>2019-01-04T08:32:00Z</cp:lastPrinted>
  <dcterms:created xsi:type="dcterms:W3CDTF">2020-01-15T16:00:00Z</dcterms:created>
  <dcterms:modified xsi:type="dcterms:W3CDTF">2020-01-15T16:00:00Z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A28584685</vt:lpwstr>
  </property>
  <property fmtid="{D5CDD505-2E9C-101B-9397-08002B2CF9AE}" pid="4" name="Objective-Title">
    <vt:lpwstr>MA-VG-0038-20 - Joint Escalation and Intervention Arrangements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2020-01-06T14:22:47Z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2020-01-15T09:13:55Z</vt:filetime>
  </property>
  <property fmtid="{D5CDD505-2E9C-101B-9397-08002B2CF9AE}" pid="10" name="Objective-ModificationStamp">
    <vt:filetime>2020-01-15T09:13:55Z</vt:filetime>
  </property>
  <property fmtid="{D5CDD505-2E9C-101B-9397-08002B2CF9AE}" pid="11" name="Objective-Owner">
    <vt:lpwstr>Rees, Martyn (HSS - Delivery &amp; Performance)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Performance:Ministerials:2020:Vaughan Gething - Minister for Health &amp;</vt:lpwstr>
  </property>
  <property fmtid="{D5CDD505-2E9C-101B-9397-08002B2CF9AE}" pid="13" name="Objective-Parent">
    <vt:lpwstr>MA/VG/0038/20 - Update Escalation Status of NHS Organisations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vA57160405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