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B6548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EF55C4" wp14:editId="14BA24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Default="00B6548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1577B1" wp14:editId="069D9D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7F50D8" w:rsidRDefault="007F50D8" w:rsidP="00A845A9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7F50D8" w:rsidRPr="00B81F17" w:rsidTr="004F5A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AA5848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442970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Consultation on the proposed mechanism for determining teachers’ pay and conditions of service.</w:t>
            </w:r>
            <w:bookmarkEnd w:id="0"/>
          </w:p>
        </w:tc>
      </w:tr>
      <w:tr w:rsidR="007F50D8" w:rsidRPr="00082AFE" w:rsidTr="004F5A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AA5848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082AFE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March 2018</w:t>
            </w:r>
          </w:p>
        </w:tc>
      </w:tr>
      <w:tr w:rsidR="007F50D8" w:rsidRPr="00B81F17" w:rsidTr="004F5A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AA5848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0D8" w:rsidRPr="00B81F17" w:rsidRDefault="007F50D8" w:rsidP="007F50D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</w:t>
            </w:r>
            <w:r w:rsidRPr="005E3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Education</w:t>
            </w:r>
          </w:p>
        </w:tc>
      </w:tr>
    </w:tbl>
    <w:p w:rsidR="007F50D8" w:rsidRDefault="007F50D8" w:rsidP="007F50D8">
      <w:pPr>
        <w:pStyle w:val="Header"/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will take responsibility for </w:t>
      </w:r>
      <w:r w:rsidRPr="00AE0BFD">
        <w:rPr>
          <w:rFonts w:ascii="Arial" w:hAnsi="Arial" w:cs="Arial"/>
          <w:sz w:val="24"/>
          <w:szCs w:val="24"/>
        </w:rPr>
        <w:t xml:space="preserve">teachers’ pay and conditions </w:t>
      </w:r>
      <w:r>
        <w:rPr>
          <w:rFonts w:ascii="Arial" w:hAnsi="Arial" w:cs="Arial"/>
          <w:sz w:val="24"/>
          <w:szCs w:val="24"/>
        </w:rPr>
        <w:t>at the end of this September, with teachers’ pay and conditions being set by the Welsh Government from September 2019.</w:t>
      </w: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an opportunity to develop a truly national model that </w:t>
      </w:r>
      <w:r w:rsidRPr="000044EE">
        <w:rPr>
          <w:rFonts w:ascii="Arial" w:hAnsi="Arial" w:cs="Arial"/>
          <w:sz w:val="24"/>
          <w:szCs w:val="24"/>
        </w:rPr>
        <w:t xml:space="preserve">enshrines a national approach to </w:t>
      </w:r>
      <w:r>
        <w:rPr>
          <w:rFonts w:ascii="Arial" w:hAnsi="Arial" w:cs="Arial"/>
          <w:sz w:val="24"/>
          <w:szCs w:val="24"/>
        </w:rPr>
        <w:t>supporting and elevating the status of the profession in Wales.</w:t>
      </w: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  <w:r w:rsidRPr="00422A32">
        <w:rPr>
          <w:rFonts w:ascii="Arial" w:hAnsi="Arial" w:cs="Arial"/>
          <w:sz w:val="24"/>
          <w:szCs w:val="24"/>
        </w:rPr>
        <w:t xml:space="preserve">In my Written Statement of 14 December 2017 I notified Members of the establishment of an Independent Task and Finish Group, chaired by Professor Mick Waters, to review Teachers’ Pay and Conditions of Service in Wales. </w:t>
      </w:r>
    </w:p>
    <w:p w:rsidR="007F50D8" w:rsidRPr="00422A32" w:rsidRDefault="007F50D8" w:rsidP="007F50D8">
      <w:pPr>
        <w:rPr>
          <w:rFonts w:ascii="Arial" w:hAnsi="Arial" w:cs="Arial"/>
          <w:sz w:val="24"/>
          <w:szCs w:val="24"/>
        </w:rPr>
      </w:pP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  <w:r w:rsidRPr="00422A32">
        <w:rPr>
          <w:rFonts w:ascii="Arial" w:hAnsi="Arial" w:cs="Arial"/>
          <w:sz w:val="24"/>
          <w:szCs w:val="24"/>
        </w:rPr>
        <w:t>Alongside this I informed Members of my intention to hold a public consultation to help inform the development of an appropriate system to determine teachers’ pay and conditions of service in Wales.</w:t>
      </w:r>
    </w:p>
    <w:p w:rsidR="007F50D8" w:rsidRPr="00422A32" w:rsidRDefault="007F50D8" w:rsidP="007F50D8">
      <w:pPr>
        <w:rPr>
          <w:rFonts w:ascii="Arial" w:hAnsi="Arial" w:cs="Arial"/>
          <w:sz w:val="24"/>
          <w:szCs w:val="24"/>
        </w:rPr>
      </w:pP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  <w:r w:rsidRPr="00422A32">
        <w:rPr>
          <w:rFonts w:ascii="Arial" w:hAnsi="Arial" w:cs="Arial"/>
          <w:sz w:val="24"/>
          <w:szCs w:val="24"/>
        </w:rPr>
        <w:t>I can now announce that the consultation on the proposed mechanism for determining teachers’ pay will open today. The consultation and the proposed mechanism can be accessed via</w:t>
      </w:r>
    </w:p>
    <w:p w:rsidR="007F50D8" w:rsidRDefault="007F50D8" w:rsidP="007F50D8">
      <w:pPr>
        <w:rPr>
          <w:rFonts w:ascii="Arial" w:hAnsi="Arial" w:cs="Arial"/>
          <w:sz w:val="24"/>
          <w:szCs w:val="24"/>
        </w:rPr>
      </w:pPr>
    </w:p>
    <w:p w:rsidR="007F50D8" w:rsidRPr="00F9365B" w:rsidRDefault="007F50D8" w:rsidP="007F50D8">
      <w:pPr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https://beta.gov.wales/devolution-teachers-pay-and-conditions</w:t>
        </w:r>
      </w:hyperlink>
    </w:p>
    <w:p w:rsidR="007F50D8" w:rsidRPr="00CE48F3" w:rsidRDefault="007F50D8" w:rsidP="00A845A9">
      <w:pPr>
        <w:rPr>
          <w:b/>
          <w:color w:val="FF0000"/>
        </w:rPr>
      </w:pPr>
    </w:p>
    <w:sectPr w:rsidR="007F50D8" w:rsidRPr="00CE48F3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A9" w:rsidRDefault="00D94CA9">
      <w:r>
        <w:separator/>
      </w:r>
    </w:p>
  </w:endnote>
  <w:endnote w:type="continuationSeparator" w:id="0">
    <w:p w:rsidR="00D94CA9" w:rsidRDefault="00D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9" w:rsidRDefault="00D94C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4CA9" w:rsidRDefault="00D94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9" w:rsidRDefault="00D94CA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D94CA9" w:rsidRDefault="00D94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9" w:rsidRPr="005D2A41" w:rsidRDefault="00D94CA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F50D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94CA9" w:rsidRPr="00A845A9" w:rsidRDefault="00D94CA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A9" w:rsidRDefault="00D94CA9">
      <w:r>
        <w:separator/>
      </w:r>
    </w:p>
  </w:footnote>
  <w:footnote w:type="continuationSeparator" w:id="0">
    <w:p w:rsidR="00D94CA9" w:rsidRDefault="00D9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A9" w:rsidRDefault="00D94CA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CA9" w:rsidRDefault="00D94CA9">
    <w:pPr>
      <w:pStyle w:val="Header"/>
    </w:pPr>
  </w:p>
  <w:p w:rsidR="00D94CA9" w:rsidRDefault="00D94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662B"/>
    <w:rsid w:val="000516D9"/>
    <w:rsid w:val="00074717"/>
    <w:rsid w:val="00082B81"/>
    <w:rsid w:val="00090C3D"/>
    <w:rsid w:val="00097118"/>
    <w:rsid w:val="000C3A52"/>
    <w:rsid w:val="000C53DB"/>
    <w:rsid w:val="000D7CE4"/>
    <w:rsid w:val="001264A0"/>
    <w:rsid w:val="00134918"/>
    <w:rsid w:val="001460B1"/>
    <w:rsid w:val="0017102C"/>
    <w:rsid w:val="00176224"/>
    <w:rsid w:val="001A39E2"/>
    <w:rsid w:val="001A6AF1"/>
    <w:rsid w:val="001B027C"/>
    <w:rsid w:val="001B288D"/>
    <w:rsid w:val="001B3B23"/>
    <w:rsid w:val="001C532F"/>
    <w:rsid w:val="00214B25"/>
    <w:rsid w:val="00223E62"/>
    <w:rsid w:val="002427A9"/>
    <w:rsid w:val="002640A0"/>
    <w:rsid w:val="00274F08"/>
    <w:rsid w:val="002A5310"/>
    <w:rsid w:val="002C57B6"/>
    <w:rsid w:val="002E0721"/>
    <w:rsid w:val="002E571A"/>
    <w:rsid w:val="002F0EB9"/>
    <w:rsid w:val="002F53A9"/>
    <w:rsid w:val="00314E36"/>
    <w:rsid w:val="003220C1"/>
    <w:rsid w:val="003464C1"/>
    <w:rsid w:val="00356D7B"/>
    <w:rsid w:val="00357893"/>
    <w:rsid w:val="003670C1"/>
    <w:rsid w:val="00370471"/>
    <w:rsid w:val="00382E1F"/>
    <w:rsid w:val="003B1503"/>
    <w:rsid w:val="003B3D64"/>
    <w:rsid w:val="003C5133"/>
    <w:rsid w:val="003F70E1"/>
    <w:rsid w:val="00407ADD"/>
    <w:rsid w:val="00412673"/>
    <w:rsid w:val="004200D3"/>
    <w:rsid w:val="0043031D"/>
    <w:rsid w:val="0046757C"/>
    <w:rsid w:val="004821A6"/>
    <w:rsid w:val="004933C5"/>
    <w:rsid w:val="005134DC"/>
    <w:rsid w:val="00527CA8"/>
    <w:rsid w:val="00560F1F"/>
    <w:rsid w:val="00574BB3"/>
    <w:rsid w:val="0059740A"/>
    <w:rsid w:val="005A22E2"/>
    <w:rsid w:val="005A44D9"/>
    <w:rsid w:val="005B030B"/>
    <w:rsid w:val="005D2A41"/>
    <w:rsid w:val="005D3C33"/>
    <w:rsid w:val="005D7663"/>
    <w:rsid w:val="005E497E"/>
    <w:rsid w:val="00613384"/>
    <w:rsid w:val="006265F4"/>
    <w:rsid w:val="006361C8"/>
    <w:rsid w:val="00654C0A"/>
    <w:rsid w:val="006633C7"/>
    <w:rsid w:val="00663F04"/>
    <w:rsid w:val="00670227"/>
    <w:rsid w:val="006814BD"/>
    <w:rsid w:val="0069133F"/>
    <w:rsid w:val="006A08C9"/>
    <w:rsid w:val="006B340E"/>
    <w:rsid w:val="006B461D"/>
    <w:rsid w:val="006E0A2C"/>
    <w:rsid w:val="006E4637"/>
    <w:rsid w:val="00703993"/>
    <w:rsid w:val="0070574C"/>
    <w:rsid w:val="0070670E"/>
    <w:rsid w:val="0073380E"/>
    <w:rsid w:val="00743B79"/>
    <w:rsid w:val="007523BC"/>
    <w:rsid w:val="00752C48"/>
    <w:rsid w:val="00766875"/>
    <w:rsid w:val="007A05FB"/>
    <w:rsid w:val="007B5260"/>
    <w:rsid w:val="007C24E7"/>
    <w:rsid w:val="007D1402"/>
    <w:rsid w:val="007E5DA8"/>
    <w:rsid w:val="007F50D8"/>
    <w:rsid w:val="007F5E64"/>
    <w:rsid w:val="00800FA0"/>
    <w:rsid w:val="008061AD"/>
    <w:rsid w:val="00812370"/>
    <w:rsid w:val="0082411A"/>
    <w:rsid w:val="00841628"/>
    <w:rsid w:val="00846160"/>
    <w:rsid w:val="00866273"/>
    <w:rsid w:val="00877BD2"/>
    <w:rsid w:val="008870A3"/>
    <w:rsid w:val="008B7927"/>
    <w:rsid w:val="008D1E0B"/>
    <w:rsid w:val="008F0CC6"/>
    <w:rsid w:val="008F789E"/>
    <w:rsid w:val="00905771"/>
    <w:rsid w:val="00921B31"/>
    <w:rsid w:val="0093037D"/>
    <w:rsid w:val="00953A46"/>
    <w:rsid w:val="00967473"/>
    <w:rsid w:val="00973090"/>
    <w:rsid w:val="009847B5"/>
    <w:rsid w:val="0099087C"/>
    <w:rsid w:val="00993BE7"/>
    <w:rsid w:val="00995EEC"/>
    <w:rsid w:val="009B7A5D"/>
    <w:rsid w:val="009C20F0"/>
    <w:rsid w:val="009D26D8"/>
    <w:rsid w:val="009D63E1"/>
    <w:rsid w:val="009E4326"/>
    <w:rsid w:val="009E4974"/>
    <w:rsid w:val="009F06C3"/>
    <w:rsid w:val="00A128EE"/>
    <w:rsid w:val="00A14E4C"/>
    <w:rsid w:val="00A162BA"/>
    <w:rsid w:val="00A204C9"/>
    <w:rsid w:val="00A23742"/>
    <w:rsid w:val="00A25368"/>
    <w:rsid w:val="00A3247B"/>
    <w:rsid w:val="00A60D15"/>
    <w:rsid w:val="00A72CF3"/>
    <w:rsid w:val="00A82A45"/>
    <w:rsid w:val="00A845A9"/>
    <w:rsid w:val="00A8590B"/>
    <w:rsid w:val="00A86958"/>
    <w:rsid w:val="00A93037"/>
    <w:rsid w:val="00AA5651"/>
    <w:rsid w:val="00AA5848"/>
    <w:rsid w:val="00AA7750"/>
    <w:rsid w:val="00AB763F"/>
    <w:rsid w:val="00AD65F1"/>
    <w:rsid w:val="00AE064D"/>
    <w:rsid w:val="00AE4AF4"/>
    <w:rsid w:val="00AF056B"/>
    <w:rsid w:val="00AF7173"/>
    <w:rsid w:val="00B049B1"/>
    <w:rsid w:val="00B13763"/>
    <w:rsid w:val="00B17937"/>
    <w:rsid w:val="00B239BA"/>
    <w:rsid w:val="00B37AB5"/>
    <w:rsid w:val="00B468BB"/>
    <w:rsid w:val="00B65484"/>
    <w:rsid w:val="00B72BC0"/>
    <w:rsid w:val="00B81F17"/>
    <w:rsid w:val="00B95EA5"/>
    <w:rsid w:val="00BA0ED4"/>
    <w:rsid w:val="00BD7A2D"/>
    <w:rsid w:val="00C14945"/>
    <w:rsid w:val="00C43B4A"/>
    <w:rsid w:val="00C56C3F"/>
    <w:rsid w:val="00C64FA5"/>
    <w:rsid w:val="00C824A2"/>
    <w:rsid w:val="00C84A12"/>
    <w:rsid w:val="00CE0894"/>
    <w:rsid w:val="00CF3DC5"/>
    <w:rsid w:val="00D017E2"/>
    <w:rsid w:val="00D165E9"/>
    <w:rsid w:val="00D16D97"/>
    <w:rsid w:val="00D27F42"/>
    <w:rsid w:val="00D84713"/>
    <w:rsid w:val="00D94CA9"/>
    <w:rsid w:val="00DD4B82"/>
    <w:rsid w:val="00E1556F"/>
    <w:rsid w:val="00E21978"/>
    <w:rsid w:val="00E26B99"/>
    <w:rsid w:val="00E31B3D"/>
    <w:rsid w:val="00E3419E"/>
    <w:rsid w:val="00E37E1C"/>
    <w:rsid w:val="00E450BB"/>
    <w:rsid w:val="00E47B1A"/>
    <w:rsid w:val="00E631B1"/>
    <w:rsid w:val="00EA36EE"/>
    <w:rsid w:val="00EA5290"/>
    <w:rsid w:val="00EB248F"/>
    <w:rsid w:val="00EB5F93"/>
    <w:rsid w:val="00EC0568"/>
    <w:rsid w:val="00ED5B6E"/>
    <w:rsid w:val="00EE721A"/>
    <w:rsid w:val="00EF4C90"/>
    <w:rsid w:val="00F0272E"/>
    <w:rsid w:val="00F2438B"/>
    <w:rsid w:val="00F46649"/>
    <w:rsid w:val="00F5033E"/>
    <w:rsid w:val="00F81C33"/>
    <w:rsid w:val="00F97613"/>
    <w:rsid w:val="00FD1C18"/>
    <w:rsid w:val="00FF0966"/>
    <w:rsid w:val="00FF236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5E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7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5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D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DA8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7F50D8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5E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7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E5D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D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5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DA8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7F50D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devolution-teachers-pay-and-condi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2018-03-09T00:00:00+00:00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F0B5C27E-88DF-4B77-B739-7D810BB5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BA578-5365-47FF-A83A-EB0718AABE54}"/>
</file>

<file path=customXml/itemProps3.xml><?xml version="1.0" encoding="utf-8"?>
<ds:datastoreItem xmlns:ds="http://schemas.openxmlformats.org/officeDocument/2006/customXml" ds:itemID="{040DAC79-7184-41D5-AAFD-19B4A5A07A5F}"/>
</file>

<file path=customXml/itemProps4.xml><?xml version="1.0" encoding="utf-8"?>
<ds:datastoreItem xmlns:ds="http://schemas.openxmlformats.org/officeDocument/2006/customXml" ds:itemID="{E0967F7B-F632-428D-9842-2B227C2ECED6}"/>
</file>

<file path=docProps/app.xml><?xml version="1.0" encoding="utf-8"?>
<Properties xmlns="http://schemas.openxmlformats.org/officeDocument/2006/extended-properties" xmlns:vt="http://schemas.openxmlformats.org/officeDocument/2006/docPropsVTypes">
  <Template>8AFA0E31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the proposed mechanism for determining teachers’ pay and conditions of service</dc:title>
  <dc:creator>burnsc</dc:creator>
  <cp:lastModifiedBy>Carey, Helen (OFMCO - Cabinet Division)</cp:lastModifiedBy>
  <cp:revision>2</cp:revision>
  <cp:lastPrinted>2017-10-18T13:10:00Z</cp:lastPrinted>
  <dcterms:created xsi:type="dcterms:W3CDTF">2018-03-08T12:44:00Z</dcterms:created>
  <dcterms:modified xsi:type="dcterms:W3CDTF">2018-03-08T12:44:00Z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A21155605</vt:lpwstr>
  </property>
  <property fmtid="{D5CDD505-2E9C-101B-9397-08002B2CF9AE}" pid="4" name="Objective-Title">
    <vt:lpwstr>180130 - VG - Written Statement - Diagnosis, treatment and care of people in a permanent vegetative or minimally conscious state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2018-01-30T15:59:13Z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2018-01-30T15:59:13Z</vt:filetime>
  </property>
  <property fmtid="{D5CDD505-2E9C-101B-9397-08002B2CF9AE}" pid="10" name="Objective-ModificationStamp">
    <vt:filetime>2018-01-30T15:59:14Z</vt:filetime>
  </property>
  <property fmtid="{D5CDD505-2E9C-101B-9397-08002B2CF9AE}" pid="11" name="Objective-Owner">
    <vt:lpwstr>Oxenham, James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- 2017-2018 (Jan-Mar):</vt:lpwstr>
  </property>
  <property fmtid="{D5CDD505-2E9C-101B-9397-08002B2CF9AE}" pid="13" name="Objective-Parent">
    <vt:lpwstr>Cabinet - Statements - 2017-2018 (Jan-Mar)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qA1315188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