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D364" w14:textId="77777777" w:rsidR="00062AFF" w:rsidRDefault="001C05F5" w:rsidP="000306B2">
      <w:pPr>
        <w:pStyle w:val="ACtitlepagesubheading"/>
      </w:pPr>
      <w:r>
        <w:t>AC(x</w:t>
      </w:r>
      <w:r w:rsidR="00062AFF">
        <w:t>)</w:t>
      </w:r>
      <w:r>
        <w:t>2013</w:t>
      </w:r>
      <w:r w:rsidR="00062AFF">
        <w:t>(</w:t>
      </w:r>
      <w:r>
        <w:t>xx</w:t>
      </w:r>
      <w:r w:rsidR="00062AFF">
        <w:t xml:space="preserve">) Paper </w:t>
      </w:r>
      <w:r>
        <w:t>x</w:t>
      </w:r>
      <w:r w:rsidR="00062AFF">
        <w:t xml:space="preserve"> </w:t>
      </w:r>
    </w:p>
    <w:p w14:paraId="726A7A64" w14:textId="74D831F9" w:rsidR="00062AFF" w:rsidRDefault="00062AFF" w:rsidP="00062AFF">
      <w:pPr>
        <w:tabs>
          <w:tab w:val="left" w:pos="1134"/>
        </w:tabs>
      </w:pPr>
      <w:r>
        <w:rPr>
          <w:b/>
        </w:rPr>
        <w:t>Date:</w:t>
      </w:r>
      <w:r w:rsidRPr="00062AFF">
        <w:tab/>
      </w:r>
      <w:r w:rsidR="00A52E47">
        <w:t>29</w:t>
      </w:r>
      <w:r>
        <w:t xml:space="preserve"> </w:t>
      </w:r>
      <w:r w:rsidR="005879C0">
        <w:t>January</w:t>
      </w:r>
      <w:r>
        <w:t xml:space="preserve"> </w:t>
      </w:r>
      <w:r w:rsidR="005879C0">
        <w:t>2015</w:t>
      </w:r>
      <w:r>
        <w:rPr>
          <w:b/>
        </w:rPr>
        <w:br/>
        <w:t>Time:</w:t>
      </w:r>
      <w:r w:rsidRPr="00062AFF">
        <w:tab/>
      </w:r>
      <w:r w:rsidR="00A52E47">
        <w:t>13</w:t>
      </w:r>
      <w:r>
        <w:t>:</w:t>
      </w:r>
      <w:r w:rsidR="00A52E47">
        <w:t>30</w:t>
      </w:r>
      <w:r>
        <w:t>-</w:t>
      </w:r>
      <w:r w:rsidR="00A52E47">
        <w:t>15</w:t>
      </w:r>
      <w:r>
        <w:t>:</w:t>
      </w:r>
      <w:r w:rsidR="00A52E47">
        <w:t>00</w:t>
      </w:r>
      <w:bookmarkStart w:id="0" w:name="_GoBack"/>
      <w:bookmarkEnd w:id="0"/>
      <w:r>
        <w:rPr>
          <w:b/>
        </w:rPr>
        <w:br/>
        <w:t>Venue:</w:t>
      </w:r>
      <w:r w:rsidRPr="00062AFF">
        <w:tab/>
      </w:r>
      <w:r w:rsidR="00A3035C" w:rsidRPr="00A3035C">
        <w:t>Presiding Officer’s office</w:t>
      </w:r>
      <w:r>
        <w:rPr>
          <w:b/>
        </w:rPr>
        <w:br/>
        <w:t>Author name and contact number:</w:t>
      </w:r>
      <w:r>
        <w:tab/>
      </w:r>
      <w:r w:rsidR="00A215FC">
        <w:t>Neil Bradley, ext 8961</w:t>
      </w:r>
    </w:p>
    <w:p w14:paraId="79E65113" w14:textId="77777777" w:rsidR="009267A2" w:rsidRDefault="009267A2" w:rsidP="009267A2">
      <w:pPr>
        <w:pStyle w:val="ListParagraph"/>
        <w:pBdr>
          <w:top w:val="single" w:sz="4" w:space="1" w:color="auto"/>
          <w:left w:val="single" w:sz="4" w:space="4" w:color="auto"/>
          <w:bottom w:val="single" w:sz="4" w:space="1" w:color="auto"/>
          <w:right w:val="single" w:sz="4" w:space="4" w:color="auto"/>
        </w:pBdr>
        <w:jc w:val="center"/>
        <w:rPr>
          <w:b/>
          <w:bCs/>
          <w:i/>
          <w:iCs/>
          <w:sz w:val="20"/>
          <w:szCs w:val="20"/>
          <w:lang w:eastAsia="en-GB"/>
        </w:rPr>
      </w:pPr>
      <w:r>
        <w:rPr>
          <w:b/>
          <w:bCs/>
          <w:i/>
          <w:iCs/>
          <w:sz w:val="20"/>
          <w:szCs w:val="20"/>
          <w:lang w:eastAsia="en-GB"/>
        </w:rPr>
        <w:t>This paper has been prepared for consideration by the National Assembly for Wales Commission. It is confidential and should not be shared more widely.  When the Commission meets to consider the paper, Commissioners will determine whether the paper should remain confidential or be published.</w:t>
      </w:r>
    </w:p>
    <w:p w14:paraId="13C144C2" w14:textId="77777777" w:rsidR="00062AFF" w:rsidRDefault="00A215FC" w:rsidP="00062AFF">
      <w:pPr>
        <w:pStyle w:val="ACpaperheading"/>
      </w:pPr>
      <w:r>
        <w:t>Carbon Managem</w:t>
      </w:r>
      <w:r w:rsidR="000C12BF">
        <w:t>ent Strategy –</w:t>
      </w:r>
      <w:r w:rsidR="005879C0">
        <w:t xml:space="preserve"> Conclusion</w:t>
      </w:r>
      <w:r>
        <w:t xml:space="preserve"> and Future Plans</w:t>
      </w:r>
    </w:p>
    <w:p w14:paraId="78778DE1" w14:textId="77777777" w:rsidR="001C1A77" w:rsidRDefault="001C1A77" w:rsidP="001C1A77">
      <w:pPr>
        <w:pStyle w:val="ACsubheading"/>
      </w:pPr>
      <w:bookmarkStart w:id="1" w:name="_Toc303605794"/>
      <w:r w:rsidRPr="001C1A77">
        <w:t>Purpose and summary</w:t>
      </w:r>
      <w:bookmarkEnd w:id="1"/>
    </w:p>
    <w:p w14:paraId="1D8AF4EA" w14:textId="77777777" w:rsidR="007571EC" w:rsidRDefault="005D2FC5" w:rsidP="007571EC">
      <w:pPr>
        <w:pStyle w:val="AClistparagraph"/>
        <w:numPr>
          <w:ilvl w:val="1"/>
          <w:numId w:val="1"/>
        </w:numPr>
      </w:pPr>
      <w:bookmarkStart w:id="2" w:name="_Toc303605795"/>
      <w:r>
        <w:t>Under the Government of Wales Act 2006, the Assembly has a statutory duty to promote sustainable development in the exercise of its functions. To this effect, o</w:t>
      </w:r>
      <w:r w:rsidR="007571EC">
        <w:t xml:space="preserve">n 25 November 2009, the Commission approved the </w:t>
      </w:r>
      <w:r w:rsidR="007571EC" w:rsidRPr="00775110">
        <w:t>Carbon Management Strategy and action plan for becoming a Carbon Neutral Assembly.  The pr</w:t>
      </w:r>
      <w:r w:rsidR="005879C0">
        <w:t>inciple aims of the strategy were</w:t>
      </w:r>
      <w:r w:rsidR="007571EC" w:rsidRPr="00775110">
        <w:t>:</w:t>
      </w:r>
    </w:p>
    <w:p w14:paraId="76E2785E" w14:textId="77777777" w:rsidR="007571EC" w:rsidRPr="000200BD" w:rsidRDefault="007571EC" w:rsidP="007571EC">
      <w:pPr>
        <w:pStyle w:val="ACbullets"/>
        <w:ind w:left="1644"/>
      </w:pPr>
      <w:r>
        <w:t>to achieve</w:t>
      </w:r>
      <w:r w:rsidR="005879C0">
        <w:t xml:space="preserve"> a 40% reduction in energy emissions </w:t>
      </w:r>
      <w:r w:rsidRPr="000200BD">
        <w:t xml:space="preserve">and </w:t>
      </w:r>
      <w:r w:rsidR="000759C2">
        <w:t>15% reducti</w:t>
      </w:r>
      <w:r w:rsidR="007E1F7A">
        <w:t xml:space="preserve">on </w:t>
      </w:r>
      <w:r w:rsidR="005879C0">
        <w:t>in business travel emissions during the five year plan;</w:t>
      </w:r>
    </w:p>
    <w:p w14:paraId="6930934D" w14:textId="77777777" w:rsidR="007571EC" w:rsidRPr="009F464F" w:rsidRDefault="00E90AB4" w:rsidP="007571EC">
      <w:pPr>
        <w:pStyle w:val="ACbullets"/>
        <w:ind w:left="1644"/>
      </w:pPr>
      <w:r>
        <w:t>t</w:t>
      </w:r>
      <w:r w:rsidR="007571EC">
        <w:t>o achieve carbon neutrality by 2015</w:t>
      </w:r>
      <w:r w:rsidR="000C12BF">
        <w:t>.</w:t>
      </w:r>
    </w:p>
    <w:p w14:paraId="078FD335" w14:textId="77777777" w:rsidR="00AA645C" w:rsidRDefault="00AA645C" w:rsidP="00A215FC">
      <w:pPr>
        <w:pStyle w:val="AClistparagraph"/>
        <w:numPr>
          <w:ilvl w:val="1"/>
          <w:numId w:val="1"/>
        </w:numPr>
      </w:pPr>
      <w:r>
        <w:t xml:space="preserve">The </w:t>
      </w:r>
      <w:r w:rsidR="009F2B3A">
        <w:t xml:space="preserve">original </w:t>
      </w:r>
      <w:r w:rsidR="008F2B7D">
        <w:t>aim of the five year plan</w:t>
      </w:r>
      <w:r w:rsidR="005879C0">
        <w:t xml:space="preserve"> supporting the strategy was</w:t>
      </w:r>
      <w:r>
        <w:t xml:space="preserve"> to reduce our carbon emissions from energy use and business </w:t>
      </w:r>
      <w:r w:rsidR="0004160F">
        <w:t>travel as far as possible to minimise the</w:t>
      </w:r>
      <w:r>
        <w:t xml:space="preserve"> offsetting </w:t>
      </w:r>
      <w:r w:rsidR="008F2B7D">
        <w:t>required to</w:t>
      </w:r>
      <w:r w:rsidR="00F72F95">
        <w:t xml:space="preserve"> </w:t>
      </w:r>
      <w:r w:rsidR="0004160F">
        <w:t>deliver carbon neutrality.</w:t>
      </w:r>
    </w:p>
    <w:p w14:paraId="33A650C0" w14:textId="61A9A295" w:rsidR="009F2B3A" w:rsidRDefault="009F2B3A" w:rsidP="00A215FC">
      <w:pPr>
        <w:pStyle w:val="AClistparagraph"/>
        <w:numPr>
          <w:ilvl w:val="1"/>
          <w:numId w:val="1"/>
        </w:numPr>
      </w:pPr>
      <w:r>
        <w:t xml:space="preserve">As the plan progressed, the appetite for </w:t>
      </w:r>
      <w:r w:rsidR="00AE10B7">
        <w:t>carbon offsetting diminished alongside</w:t>
      </w:r>
      <w:r>
        <w:t xml:space="preserve"> encouraging prog</w:t>
      </w:r>
      <w:r w:rsidR="006F0F19">
        <w:t>r</w:t>
      </w:r>
      <w:r>
        <w:t xml:space="preserve">ess and the aim of achieving the </w:t>
      </w:r>
      <w:r w:rsidR="006A3736">
        <w:t>challenging emissions reduction</w:t>
      </w:r>
      <w:r>
        <w:t xml:space="preserve"> targets became the only priority.</w:t>
      </w:r>
    </w:p>
    <w:p w14:paraId="7DF652E4" w14:textId="40E41F58" w:rsidR="00036AF1" w:rsidRDefault="00036AF1" w:rsidP="00036AF1">
      <w:pPr>
        <w:pStyle w:val="AClistparagraph"/>
        <w:numPr>
          <w:ilvl w:val="1"/>
          <w:numId w:val="1"/>
        </w:numPr>
      </w:pPr>
      <w:r>
        <w:t xml:space="preserve">Over the duration of the strategy, we have been successful in achieving a total energy emissions reduction of 35% against the 40% target.  The Carbon Trust have cited this as ‘Public Sector leading performance in Wales’ and the Commission </w:t>
      </w:r>
      <w:r w:rsidR="0023656A">
        <w:t>can be proud</w:t>
      </w:r>
      <w:r>
        <w:t xml:space="preserve"> </w:t>
      </w:r>
      <w:r w:rsidR="0023656A">
        <w:t>of the reductions achieved</w:t>
      </w:r>
      <w:r>
        <w:t xml:space="preserve"> </w:t>
      </w:r>
      <w:r>
        <w:lastRenderedPageBreak/>
        <w:t xml:space="preserve">against an extremely challenging target.  </w:t>
      </w:r>
      <w:r w:rsidRPr="00760FBE">
        <w:t xml:space="preserve">Total business travel emissions at the conclusion </w:t>
      </w:r>
      <w:r>
        <w:t>of the strategy represented a 4</w:t>
      </w:r>
      <w:r w:rsidRPr="00760FBE">
        <w:t xml:space="preserve">% </w:t>
      </w:r>
      <w:r>
        <w:t>reduction compared to 2008/09 despite an increase of 16% in mileage, signalling a reduction in the carbon intensity of travel but more importantly the emergence of smarter travel choices</w:t>
      </w:r>
      <w:r w:rsidRPr="00760FBE">
        <w:t xml:space="preserve">. </w:t>
      </w:r>
      <w:r>
        <w:t xml:space="preserve">  </w:t>
      </w:r>
    </w:p>
    <w:p w14:paraId="00467EAB" w14:textId="77777777" w:rsidR="005D65E5" w:rsidRDefault="00AD6FA8" w:rsidP="00AD6FA8">
      <w:pPr>
        <w:pStyle w:val="AClistparagraph"/>
        <w:numPr>
          <w:ilvl w:val="1"/>
          <w:numId w:val="1"/>
        </w:numPr>
      </w:pPr>
      <w:r>
        <w:t>The success of the strategy rests with a balanced approach to building improvements, a collective commitment and enthusiasm by all occupants to the sustainability agenda and the investment required to realise the savings achieved.  Only recently, the Assembly was successful in winning a coveted award for the Most Sustainable Public Sector Organisation in Government across the UK by the Institute of Public Sector Estates Management which is testament to our hard work.</w:t>
      </w:r>
    </w:p>
    <w:p w14:paraId="561DDD61" w14:textId="5F52C730" w:rsidR="00AD6FA8" w:rsidRDefault="00AD6FA8" w:rsidP="00036AF1">
      <w:pPr>
        <w:pStyle w:val="AClistparagraph"/>
        <w:numPr>
          <w:ilvl w:val="1"/>
          <w:numId w:val="1"/>
        </w:numPr>
      </w:pPr>
      <w:r>
        <w:t>The Carbon Management Plan has proven to be an invaluable catalyst for change in driving environmental improvement and ultimately reducing the impact of the Assembly’s activities.  It has successfully laid the foundations for achieving the more significant gains required in reducing carbon emissions through the new investment programme that will take the Assembly forward to 2021.</w:t>
      </w:r>
    </w:p>
    <w:p w14:paraId="4FB0CBD6" w14:textId="369A9168" w:rsidR="003B6E1E" w:rsidRDefault="00A215FC" w:rsidP="00231ECC">
      <w:pPr>
        <w:pStyle w:val="AClistparagraph"/>
        <w:numPr>
          <w:ilvl w:val="1"/>
          <w:numId w:val="1"/>
        </w:numPr>
      </w:pPr>
      <w:r w:rsidRPr="001A0AB1">
        <w:t xml:space="preserve">This report </w:t>
      </w:r>
      <w:r w:rsidR="009F2B3A">
        <w:t xml:space="preserve">concludes the Carbon Management Strategy and provides a summary of </w:t>
      </w:r>
      <w:r w:rsidRPr="001A0AB1">
        <w:t xml:space="preserve">progress made </w:t>
      </w:r>
      <w:r w:rsidR="001F25C6">
        <w:t>in</w:t>
      </w:r>
      <w:r w:rsidR="00CD0254">
        <w:t xml:space="preserve"> </w:t>
      </w:r>
      <w:r w:rsidR="00E844E5">
        <w:t>2013/14</w:t>
      </w:r>
      <w:r w:rsidR="00CD0254">
        <w:t xml:space="preserve"> </w:t>
      </w:r>
      <w:r w:rsidR="00FF1123">
        <w:t xml:space="preserve">of the plan </w:t>
      </w:r>
      <w:r w:rsidR="009F2B3A">
        <w:t>together with</w:t>
      </w:r>
      <w:r w:rsidR="005879C0">
        <w:t xml:space="preserve"> </w:t>
      </w:r>
      <w:r w:rsidR="009F2B3A">
        <w:t xml:space="preserve">our </w:t>
      </w:r>
      <w:r w:rsidR="0042615B">
        <w:t>key</w:t>
      </w:r>
      <w:r w:rsidR="003D01B3">
        <w:t xml:space="preserve"> achievements</w:t>
      </w:r>
      <w:r w:rsidR="009F2B3A">
        <w:t xml:space="preserve"> in respect of the </w:t>
      </w:r>
      <w:r w:rsidR="006A3736">
        <w:t xml:space="preserve">corporate </w:t>
      </w:r>
      <w:r w:rsidR="009F2B3A">
        <w:t>targets.</w:t>
      </w:r>
    </w:p>
    <w:p w14:paraId="4C88BD17" w14:textId="77777777" w:rsidR="00062AFF" w:rsidRPr="00062AFF" w:rsidRDefault="00062AFF" w:rsidP="001C1A77">
      <w:pPr>
        <w:pStyle w:val="ACsubheading"/>
      </w:pPr>
      <w:r w:rsidRPr="00062AFF">
        <w:t>Recommendations</w:t>
      </w:r>
      <w:bookmarkEnd w:id="2"/>
    </w:p>
    <w:p w14:paraId="34CAE7DC" w14:textId="77777777" w:rsidR="00A215FC" w:rsidRDefault="00A215FC" w:rsidP="00A215FC">
      <w:pPr>
        <w:pStyle w:val="AClistparagraph"/>
        <w:numPr>
          <w:ilvl w:val="1"/>
          <w:numId w:val="1"/>
        </w:numPr>
      </w:pPr>
      <w:bookmarkStart w:id="3" w:name="_Toc303605796"/>
      <w:r>
        <w:t>The Assemb</w:t>
      </w:r>
      <w:r w:rsidR="008F2B7D">
        <w:t>ly Commission is invited to</w:t>
      </w:r>
      <w:r>
        <w:t>:</w:t>
      </w:r>
    </w:p>
    <w:p w14:paraId="672DA7DB" w14:textId="37A267B2" w:rsidR="00A215FC" w:rsidRDefault="008F2B7D" w:rsidP="00A215FC">
      <w:pPr>
        <w:pStyle w:val="AClistparagraph"/>
        <w:numPr>
          <w:ilvl w:val="0"/>
          <w:numId w:val="6"/>
        </w:numPr>
      </w:pPr>
      <w:r>
        <w:t>Note t</w:t>
      </w:r>
      <w:r w:rsidR="00A215FC" w:rsidRPr="00C84736">
        <w:t xml:space="preserve">he </w:t>
      </w:r>
      <w:r w:rsidR="00F311E2">
        <w:t>actions</w:t>
      </w:r>
      <w:r w:rsidR="00AE698A">
        <w:t xml:space="preserve"> </w:t>
      </w:r>
      <w:r w:rsidR="006A3736">
        <w:t>that helped</w:t>
      </w:r>
      <w:r w:rsidR="00AE698A">
        <w:t xml:space="preserve"> achieve our carbon reduction targets:</w:t>
      </w:r>
      <w:r w:rsidR="00F311E2">
        <w:t xml:space="preserve"> </w:t>
      </w:r>
      <w:r w:rsidR="00AE698A">
        <w:br/>
        <w:t xml:space="preserve">       - </w:t>
      </w:r>
      <w:r w:rsidR="00F311E2">
        <w:t xml:space="preserve">taken </w:t>
      </w:r>
      <w:r w:rsidR="00FB7A5A">
        <w:t>in 2013/14</w:t>
      </w:r>
      <w:r w:rsidR="00AE698A">
        <w:t xml:space="preserve"> (Annexed in Table A) </w:t>
      </w:r>
      <w:r w:rsidR="0056711C">
        <w:t xml:space="preserve"> </w:t>
      </w:r>
      <w:r w:rsidR="00AE698A">
        <w:br/>
        <w:t xml:space="preserve">       - </w:t>
      </w:r>
      <w:r w:rsidR="00DE629A">
        <w:t>an</w:t>
      </w:r>
      <w:r w:rsidR="00E8309B">
        <w:t xml:space="preserve">d </w:t>
      </w:r>
      <w:r w:rsidR="006A3736">
        <w:t>our key</w:t>
      </w:r>
      <w:r w:rsidR="00FB7A5A">
        <w:t xml:space="preserve"> performance achievements</w:t>
      </w:r>
      <w:r w:rsidR="006A3736">
        <w:t xml:space="preserve"> through</w:t>
      </w:r>
      <w:r w:rsidR="00EE5F62">
        <w:t>out</w:t>
      </w:r>
      <w:r w:rsidR="006A3736">
        <w:t xml:space="preserve"> the plan</w:t>
      </w:r>
      <w:r w:rsidR="00FB7A5A">
        <w:t xml:space="preserve"> </w:t>
      </w:r>
      <w:r w:rsidR="00E8309B">
        <w:t>(Annexed</w:t>
      </w:r>
      <w:r w:rsidR="00DE629A">
        <w:t xml:space="preserve"> in Table B)</w:t>
      </w:r>
      <w:r w:rsidR="00AE698A">
        <w:t xml:space="preserve"> </w:t>
      </w:r>
    </w:p>
    <w:p w14:paraId="5D8D5A98" w14:textId="32230FA1" w:rsidR="000759C2" w:rsidRDefault="00FB7A5A" w:rsidP="007122BC">
      <w:pPr>
        <w:pStyle w:val="ListParagraph"/>
        <w:numPr>
          <w:ilvl w:val="0"/>
          <w:numId w:val="6"/>
        </w:numPr>
        <w:spacing w:after="200" w:line="276" w:lineRule="auto"/>
        <w:rPr>
          <w:szCs w:val="24"/>
        </w:rPr>
      </w:pPr>
      <w:r>
        <w:rPr>
          <w:szCs w:val="24"/>
        </w:rPr>
        <w:t xml:space="preserve">Note </w:t>
      </w:r>
      <w:r w:rsidR="000759C2" w:rsidRPr="00001116">
        <w:rPr>
          <w:szCs w:val="24"/>
        </w:rPr>
        <w:t xml:space="preserve">the </w:t>
      </w:r>
      <w:r>
        <w:rPr>
          <w:szCs w:val="24"/>
        </w:rPr>
        <w:t xml:space="preserve">Commission approved </w:t>
      </w:r>
      <w:r w:rsidR="009E5B31">
        <w:rPr>
          <w:szCs w:val="24"/>
        </w:rPr>
        <w:t>strategy for further</w:t>
      </w:r>
      <w:r w:rsidR="00D43593">
        <w:rPr>
          <w:szCs w:val="24"/>
        </w:rPr>
        <w:t xml:space="preserve"> reducing </w:t>
      </w:r>
      <w:r>
        <w:rPr>
          <w:szCs w:val="24"/>
        </w:rPr>
        <w:t>energy</w:t>
      </w:r>
      <w:r w:rsidR="00EB5ED2">
        <w:rPr>
          <w:szCs w:val="24"/>
        </w:rPr>
        <w:t xml:space="preserve"> emissions</w:t>
      </w:r>
      <w:r>
        <w:rPr>
          <w:szCs w:val="24"/>
        </w:rPr>
        <w:t xml:space="preserve"> (Energy Reduction Route Map) and proposed actions for developing additional targets for business travel, waste and water</w:t>
      </w:r>
      <w:r w:rsidR="00E8309B">
        <w:rPr>
          <w:szCs w:val="24"/>
        </w:rPr>
        <w:t xml:space="preserve"> (Annexed in Table C</w:t>
      </w:r>
      <w:r w:rsidR="00527ED2">
        <w:rPr>
          <w:szCs w:val="24"/>
        </w:rPr>
        <w:t>)</w:t>
      </w:r>
      <w:r>
        <w:rPr>
          <w:szCs w:val="24"/>
        </w:rPr>
        <w:t>.</w:t>
      </w:r>
    </w:p>
    <w:p w14:paraId="19E4A0F9" w14:textId="77777777" w:rsidR="00FF1AEB" w:rsidRPr="000759C2" w:rsidRDefault="00FF1AEB" w:rsidP="00FF1AEB">
      <w:pPr>
        <w:pStyle w:val="ListParagraph"/>
        <w:spacing w:after="200" w:line="276" w:lineRule="auto"/>
        <w:ind w:left="644"/>
        <w:rPr>
          <w:szCs w:val="24"/>
        </w:rPr>
      </w:pPr>
    </w:p>
    <w:bookmarkEnd w:id="3"/>
    <w:p w14:paraId="12D9517D" w14:textId="695A3EFA" w:rsidR="00A215FC" w:rsidRPr="002C04B8" w:rsidRDefault="00A215FC" w:rsidP="00A215FC">
      <w:pPr>
        <w:pStyle w:val="ACsubheading"/>
      </w:pPr>
      <w:r>
        <w:t>Progress</w:t>
      </w:r>
      <w:r w:rsidR="009E5B31">
        <w:t xml:space="preserve"> (2013/14</w:t>
      </w:r>
      <w:r w:rsidR="005A4932">
        <w:t>)</w:t>
      </w:r>
    </w:p>
    <w:p w14:paraId="3617DAD6" w14:textId="31361556" w:rsidR="008B5A0F" w:rsidRDefault="009E5B31" w:rsidP="00562869">
      <w:pPr>
        <w:pStyle w:val="AClistparagraph"/>
        <w:numPr>
          <w:ilvl w:val="1"/>
          <w:numId w:val="1"/>
        </w:numPr>
      </w:pPr>
      <w:r>
        <w:t>In 2013/14</w:t>
      </w:r>
      <w:r w:rsidR="00A215FC" w:rsidRPr="005F1080">
        <w:t xml:space="preserve">, </w:t>
      </w:r>
      <w:r w:rsidR="00562869">
        <w:t>our energ</w:t>
      </w:r>
      <w:r w:rsidR="00371FFC">
        <w:t xml:space="preserve">y emissions </w:t>
      </w:r>
      <w:r w:rsidR="00E465B9">
        <w:t>reduced by 8.7</w:t>
      </w:r>
      <w:r w:rsidR="00371FFC">
        <w:t>%</w:t>
      </w:r>
      <w:r w:rsidR="005054C9">
        <w:t xml:space="preserve"> across the estate</w:t>
      </w:r>
      <w:r w:rsidR="00371FFC">
        <w:t xml:space="preserve"> </w:t>
      </w:r>
      <w:r w:rsidR="00AE698A">
        <w:t xml:space="preserve">resulting in </w:t>
      </w:r>
      <w:r>
        <w:t>a reduction</w:t>
      </w:r>
      <w:r w:rsidR="00AE698A">
        <w:t xml:space="preserve"> of </w:t>
      </w:r>
      <w:r w:rsidR="00B75A52">
        <w:t>168</w:t>
      </w:r>
      <w:r w:rsidR="00AE698A">
        <w:t xml:space="preserve"> tonnes of carbon</w:t>
      </w:r>
      <w:r w:rsidR="0050647A">
        <w:t xml:space="preserve"> compared to the </w:t>
      </w:r>
      <w:r w:rsidR="0050647A">
        <w:lastRenderedPageBreak/>
        <w:t>previous year</w:t>
      </w:r>
      <w:r w:rsidR="00562869">
        <w:t xml:space="preserve">.  This was largely attributable to </w:t>
      </w:r>
      <w:r>
        <w:t xml:space="preserve">a mild, dry summer and warm winter in which the </w:t>
      </w:r>
      <w:r w:rsidR="00562869">
        <w:t xml:space="preserve">use of </w:t>
      </w:r>
      <w:r>
        <w:t xml:space="preserve">AC for cooling and </w:t>
      </w:r>
      <w:r w:rsidR="00562869">
        <w:t xml:space="preserve">gas for heating </w:t>
      </w:r>
      <w:r w:rsidR="00F10234">
        <w:t xml:space="preserve">was </w:t>
      </w:r>
      <w:r w:rsidR="00AE10B7">
        <w:t>lower</w:t>
      </w:r>
      <w:r>
        <w:t xml:space="preserve"> over extended periods</w:t>
      </w:r>
      <w:r w:rsidR="00562869">
        <w:t xml:space="preserve">. </w:t>
      </w:r>
      <w:r w:rsidR="00AE698A">
        <w:t>En</w:t>
      </w:r>
      <w:r w:rsidR="0050647A">
        <w:t xml:space="preserve">ergy costs increased by </w:t>
      </w:r>
      <w:r w:rsidR="00782F0E">
        <w:t>£</w:t>
      </w:r>
      <w:r w:rsidR="00E465B9">
        <w:t>1</w:t>
      </w:r>
      <w:r w:rsidR="00725A00">
        <w:t>0,848</w:t>
      </w:r>
      <w:r w:rsidR="00AE698A">
        <w:t xml:space="preserve"> </w:t>
      </w:r>
      <w:r w:rsidR="00FF1123">
        <w:t xml:space="preserve">compared to the previous year </w:t>
      </w:r>
      <w:r w:rsidR="00AE698A">
        <w:t xml:space="preserve">and </w:t>
      </w:r>
      <w:r w:rsidR="0050647A">
        <w:t>c</w:t>
      </w:r>
      <w:r w:rsidR="001F6C6F">
        <w:t xml:space="preserve">ontinued reductions in energy consumption will be key to ensuring our energy costs remain as low as possible in light of rising </w:t>
      </w:r>
      <w:r w:rsidR="0050647A">
        <w:t xml:space="preserve">commercial </w:t>
      </w:r>
      <w:r w:rsidR="001F6C6F">
        <w:t>energy prices.</w:t>
      </w:r>
      <w:r w:rsidR="003A0DCB">
        <w:t xml:space="preserve">  Despite energy costs rising year on year, following this reduction we have achieved indicative energy cost savings of £222,068 (33%) against the baseline year 2008/09 (based on the Assembly’s current electricity and gas prices).  </w:t>
      </w:r>
      <w:r w:rsidR="005054C9">
        <w:t xml:space="preserve"> </w:t>
      </w:r>
      <w:r w:rsidR="0050647A">
        <w:t xml:space="preserve"> </w:t>
      </w:r>
    </w:p>
    <w:p w14:paraId="433745B8" w14:textId="7FC4B004" w:rsidR="00FD7D5A" w:rsidRPr="00FF1AEB" w:rsidRDefault="00FD7D5A" w:rsidP="00FD7D5A">
      <w:pPr>
        <w:pStyle w:val="AClistparagraph"/>
        <w:numPr>
          <w:ilvl w:val="1"/>
          <w:numId w:val="1"/>
        </w:numPr>
        <w:rPr>
          <w:b/>
        </w:rPr>
      </w:pPr>
      <w:r>
        <w:t xml:space="preserve">Business travel emissions have increased by 5% </w:t>
      </w:r>
      <w:r w:rsidR="00FF1AEB">
        <w:t xml:space="preserve">in 2013/14 </w:t>
      </w:r>
      <w:r>
        <w:t>compared to the previous year and this has been reflected by cost increases of 31% and an increase in total mileage of 4</w:t>
      </w:r>
      <w:r w:rsidR="00FF1AEB">
        <w:t xml:space="preserve">%.  </w:t>
      </w:r>
      <w:r>
        <w:t xml:space="preserve">This is </w:t>
      </w:r>
      <w:r w:rsidR="00FF1AEB">
        <w:t xml:space="preserve">largely </w:t>
      </w:r>
      <w:r>
        <w:t>a result of increased private car use and air trav</w:t>
      </w:r>
      <w:r w:rsidR="009A2171">
        <w:t>el.  However, despite these recent increases</w:t>
      </w:r>
      <w:r w:rsidR="00AE10B7">
        <w:t xml:space="preserve"> a cumulative reduction of 11% </w:t>
      </w:r>
      <w:r>
        <w:t>in travel emissions has been achieved since 2008/09</w:t>
      </w:r>
      <w:r w:rsidR="00FF1AEB">
        <w:t xml:space="preserve"> with a sustained use of low carbon forms of travel such as rail and coach becoming more prevalent</w:t>
      </w:r>
      <w:r>
        <w:t>.</w:t>
      </w:r>
      <w:r w:rsidR="009A2171">
        <w:t xml:space="preserve">  This reduction is set against peaks and troughs in business travel pursuant to the nature and patterns of Assembly business.</w:t>
      </w:r>
      <w:r>
        <w:t xml:space="preserve">  </w:t>
      </w:r>
    </w:p>
    <w:p w14:paraId="6931B538" w14:textId="4CA6E848" w:rsidR="00FF1AEB" w:rsidRPr="003A0DCB" w:rsidRDefault="00FF1AEB" w:rsidP="003A0DCB">
      <w:pPr>
        <w:pStyle w:val="AClistparagraph"/>
        <w:numPr>
          <w:ilvl w:val="1"/>
          <w:numId w:val="1"/>
        </w:numPr>
        <w:rPr>
          <w:b/>
        </w:rPr>
      </w:pPr>
      <w:r>
        <w:t xml:space="preserve">Table 1 below shows our </w:t>
      </w:r>
      <w:r w:rsidR="00BE164B">
        <w:t xml:space="preserve">annual </w:t>
      </w:r>
      <w:r>
        <w:t>performance in reducing CO2e emissions (and resultant cost savings) since the plan’s inception in 2009.</w:t>
      </w:r>
    </w:p>
    <w:p w14:paraId="4DD033BC" w14:textId="77777777" w:rsidR="00FF1AEB" w:rsidRPr="00147ED9" w:rsidRDefault="00FF1AEB" w:rsidP="00FF1AEB">
      <w:pPr>
        <w:pStyle w:val="AClistparagraph"/>
        <w:numPr>
          <w:ilvl w:val="0"/>
          <w:numId w:val="0"/>
        </w:numPr>
        <w:rPr>
          <w:b/>
          <w:i/>
        </w:rPr>
      </w:pPr>
      <w:r w:rsidRPr="00147ED9">
        <w:rPr>
          <w:i/>
        </w:rPr>
        <w:t>Table 1 Carbon and Cost Savings</w:t>
      </w:r>
    </w:p>
    <w:tbl>
      <w:tblPr>
        <w:tblStyle w:val="TableGrid"/>
        <w:tblW w:w="0" w:type="auto"/>
        <w:tblLook w:val="04A0" w:firstRow="1" w:lastRow="0" w:firstColumn="1" w:lastColumn="0" w:noHBand="0" w:noVBand="1"/>
      </w:tblPr>
      <w:tblGrid>
        <w:gridCol w:w="1952"/>
        <w:gridCol w:w="1118"/>
        <w:gridCol w:w="1118"/>
        <w:gridCol w:w="1118"/>
        <w:gridCol w:w="1238"/>
        <w:gridCol w:w="1128"/>
        <w:gridCol w:w="1210"/>
      </w:tblGrid>
      <w:tr w:rsidR="00FF1AEB" w:rsidRPr="00FD7D5A" w14:paraId="2384E81C" w14:textId="77777777" w:rsidTr="009231C3">
        <w:trPr>
          <w:cnfStyle w:val="100000000000" w:firstRow="1" w:lastRow="0" w:firstColumn="0" w:lastColumn="0" w:oddVBand="0" w:evenVBand="0" w:oddHBand="0" w:evenHBand="0" w:firstRowFirstColumn="0" w:firstRowLastColumn="0" w:lastRowFirstColumn="0" w:lastRowLastColumn="0"/>
        </w:trPr>
        <w:tc>
          <w:tcPr>
            <w:tcW w:w="1952" w:type="dxa"/>
            <w:vAlign w:val="center"/>
          </w:tcPr>
          <w:p w14:paraId="475D8EA2" w14:textId="77777777" w:rsidR="00FF1AEB" w:rsidRPr="00FD7D5A" w:rsidRDefault="00FF1AEB" w:rsidP="002C42D6">
            <w:pPr>
              <w:pStyle w:val="ACsubheading"/>
              <w:numPr>
                <w:ilvl w:val="0"/>
                <w:numId w:val="0"/>
              </w:numPr>
              <w:jc w:val="center"/>
              <w:rPr>
                <w:sz w:val="19"/>
                <w:szCs w:val="19"/>
              </w:rPr>
            </w:pPr>
          </w:p>
        </w:tc>
        <w:tc>
          <w:tcPr>
            <w:tcW w:w="1118" w:type="dxa"/>
            <w:vAlign w:val="center"/>
          </w:tcPr>
          <w:p w14:paraId="6B35C6CC" w14:textId="77777777" w:rsidR="00FF1AEB" w:rsidRPr="00FD7D5A" w:rsidRDefault="00FF1AEB" w:rsidP="002C42D6">
            <w:pPr>
              <w:pStyle w:val="ACsubheading"/>
              <w:numPr>
                <w:ilvl w:val="0"/>
                <w:numId w:val="0"/>
              </w:numPr>
              <w:jc w:val="center"/>
              <w:rPr>
                <w:sz w:val="19"/>
                <w:szCs w:val="19"/>
              </w:rPr>
            </w:pPr>
            <w:r w:rsidRPr="00FD7D5A">
              <w:rPr>
                <w:sz w:val="19"/>
                <w:szCs w:val="19"/>
              </w:rPr>
              <w:t>2008/09 (baseline year)</w:t>
            </w:r>
          </w:p>
        </w:tc>
        <w:tc>
          <w:tcPr>
            <w:tcW w:w="1118" w:type="dxa"/>
            <w:vAlign w:val="center"/>
          </w:tcPr>
          <w:p w14:paraId="09187A2C" w14:textId="77777777" w:rsidR="00FF1AEB" w:rsidRPr="00FD7D5A" w:rsidRDefault="00FF1AEB" w:rsidP="002C42D6">
            <w:pPr>
              <w:pStyle w:val="ACsubheading"/>
              <w:numPr>
                <w:ilvl w:val="0"/>
                <w:numId w:val="0"/>
              </w:numPr>
              <w:jc w:val="center"/>
              <w:rPr>
                <w:sz w:val="19"/>
                <w:szCs w:val="19"/>
              </w:rPr>
            </w:pPr>
            <w:r w:rsidRPr="00FD7D5A">
              <w:rPr>
                <w:sz w:val="19"/>
                <w:szCs w:val="19"/>
              </w:rPr>
              <w:t>2009/10</w:t>
            </w:r>
          </w:p>
        </w:tc>
        <w:tc>
          <w:tcPr>
            <w:tcW w:w="1118" w:type="dxa"/>
            <w:vAlign w:val="center"/>
          </w:tcPr>
          <w:p w14:paraId="0B13996B" w14:textId="77777777" w:rsidR="00FF1AEB" w:rsidRPr="00FD7D5A" w:rsidRDefault="00FF1AEB" w:rsidP="002C42D6">
            <w:pPr>
              <w:pStyle w:val="ACsubheading"/>
              <w:numPr>
                <w:ilvl w:val="0"/>
                <w:numId w:val="0"/>
              </w:numPr>
              <w:jc w:val="center"/>
              <w:rPr>
                <w:sz w:val="19"/>
                <w:szCs w:val="19"/>
              </w:rPr>
            </w:pPr>
            <w:r w:rsidRPr="00FD7D5A">
              <w:rPr>
                <w:sz w:val="19"/>
                <w:szCs w:val="19"/>
              </w:rPr>
              <w:t>2010/11</w:t>
            </w:r>
          </w:p>
        </w:tc>
        <w:tc>
          <w:tcPr>
            <w:tcW w:w="1238" w:type="dxa"/>
            <w:vAlign w:val="center"/>
          </w:tcPr>
          <w:p w14:paraId="09F15087" w14:textId="77777777" w:rsidR="00FF1AEB" w:rsidRPr="00FD7D5A" w:rsidRDefault="00FF1AEB" w:rsidP="002C42D6">
            <w:pPr>
              <w:pStyle w:val="ACsubheading"/>
              <w:numPr>
                <w:ilvl w:val="0"/>
                <w:numId w:val="0"/>
              </w:numPr>
              <w:jc w:val="center"/>
              <w:rPr>
                <w:sz w:val="19"/>
                <w:szCs w:val="19"/>
              </w:rPr>
            </w:pPr>
            <w:r w:rsidRPr="00FD7D5A">
              <w:rPr>
                <w:sz w:val="19"/>
                <w:szCs w:val="19"/>
              </w:rPr>
              <w:t>2011/12</w:t>
            </w:r>
          </w:p>
        </w:tc>
        <w:tc>
          <w:tcPr>
            <w:tcW w:w="1128" w:type="dxa"/>
            <w:vAlign w:val="center"/>
          </w:tcPr>
          <w:p w14:paraId="09AAF66E" w14:textId="77777777" w:rsidR="00FF1AEB" w:rsidRPr="00FD7D5A" w:rsidRDefault="00FF1AEB" w:rsidP="002C42D6">
            <w:pPr>
              <w:pStyle w:val="ACsubheading"/>
              <w:numPr>
                <w:ilvl w:val="0"/>
                <w:numId w:val="0"/>
              </w:numPr>
              <w:jc w:val="center"/>
              <w:rPr>
                <w:sz w:val="19"/>
                <w:szCs w:val="19"/>
              </w:rPr>
            </w:pPr>
            <w:r w:rsidRPr="00FD7D5A">
              <w:rPr>
                <w:sz w:val="19"/>
                <w:szCs w:val="19"/>
              </w:rPr>
              <w:t>2012/13</w:t>
            </w:r>
          </w:p>
        </w:tc>
        <w:tc>
          <w:tcPr>
            <w:tcW w:w="1210" w:type="dxa"/>
            <w:vAlign w:val="center"/>
          </w:tcPr>
          <w:p w14:paraId="7EBC93F4" w14:textId="77777777" w:rsidR="00FF1AEB" w:rsidRPr="00FD7D5A" w:rsidRDefault="00FF1AEB" w:rsidP="002C42D6">
            <w:pPr>
              <w:pStyle w:val="ACsubheading"/>
              <w:numPr>
                <w:ilvl w:val="0"/>
                <w:numId w:val="0"/>
              </w:numPr>
              <w:jc w:val="center"/>
              <w:rPr>
                <w:sz w:val="19"/>
                <w:szCs w:val="19"/>
              </w:rPr>
            </w:pPr>
            <w:r w:rsidRPr="00FD7D5A">
              <w:rPr>
                <w:sz w:val="19"/>
                <w:szCs w:val="19"/>
              </w:rPr>
              <w:t xml:space="preserve">2013/14 </w:t>
            </w:r>
          </w:p>
        </w:tc>
      </w:tr>
      <w:tr w:rsidR="00FF1AEB" w:rsidRPr="00FD7D5A" w14:paraId="16BC0EA6" w14:textId="77777777" w:rsidTr="009231C3">
        <w:tc>
          <w:tcPr>
            <w:tcW w:w="1952" w:type="dxa"/>
            <w:vAlign w:val="bottom"/>
          </w:tcPr>
          <w:p w14:paraId="3CC94660"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Energy (tC02e)</w:t>
            </w:r>
            <w:r w:rsidRPr="00FD7D5A">
              <w:rPr>
                <w:rStyle w:val="FootnoteReference"/>
                <w:b w:val="0"/>
                <w:sz w:val="19"/>
                <w:szCs w:val="19"/>
              </w:rPr>
              <w:footnoteReference w:id="1"/>
            </w:r>
            <w:r w:rsidRPr="00FD7D5A">
              <w:rPr>
                <w:b w:val="0"/>
                <w:sz w:val="19"/>
                <w:szCs w:val="19"/>
                <w:vertAlign w:val="superscript"/>
              </w:rPr>
              <w:t>,2</w:t>
            </w:r>
          </w:p>
        </w:tc>
        <w:tc>
          <w:tcPr>
            <w:tcW w:w="1118" w:type="dxa"/>
            <w:vAlign w:val="bottom"/>
          </w:tcPr>
          <w:p w14:paraId="109DA04D"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2,680</w:t>
            </w:r>
          </w:p>
        </w:tc>
        <w:tc>
          <w:tcPr>
            <w:tcW w:w="1118" w:type="dxa"/>
            <w:vAlign w:val="bottom"/>
          </w:tcPr>
          <w:p w14:paraId="0A1B7222"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2,463</w:t>
            </w:r>
          </w:p>
        </w:tc>
        <w:tc>
          <w:tcPr>
            <w:tcW w:w="1118" w:type="dxa"/>
            <w:vAlign w:val="bottom"/>
          </w:tcPr>
          <w:p w14:paraId="59F632C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2,214</w:t>
            </w:r>
          </w:p>
        </w:tc>
        <w:tc>
          <w:tcPr>
            <w:tcW w:w="1238" w:type="dxa"/>
            <w:vAlign w:val="bottom"/>
          </w:tcPr>
          <w:p w14:paraId="5505FCFD"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1,882</w:t>
            </w:r>
          </w:p>
        </w:tc>
        <w:tc>
          <w:tcPr>
            <w:tcW w:w="1128" w:type="dxa"/>
            <w:vAlign w:val="bottom"/>
          </w:tcPr>
          <w:p w14:paraId="61C75ECF"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1,952</w:t>
            </w:r>
          </w:p>
        </w:tc>
        <w:tc>
          <w:tcPr>
            <w:tcW w:w="1210" w:type="dxa"/>
            <w:vAlign w:val="bottom"/>
          </w:tcPr>
          <w:p w14:paraId="388D106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1,784</w:t>
            </w:r>
          </w:p>
        </w:tc>
      </w:tr>
      <w:tr w:rsidR="00FF1AEB" w:rsidRPr="00FD7D5A" w14:paraId="096722D3" w14:textId="77777777" w:rsidTr="009231C3">
        <w:tc>
          <w:tcPr>
            <w:tcW w:w="1952" w:type="dxa"/>
            <w:vAlign w:val="center"/>
          </w:tcPr>
          <w:p w14:paraId="478AC31B"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Energy costs (£)</w:t>
            </w:r>
          </w:p>
        </w:tc>
        <w:tc>
          <w:tcPr>
            <w:tcW w:w="1118" w:type="dxa"/>
            <w:vAlign w:val="center"/>
          </w:tcPr>
          <w:p w14:paraId="316BC39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£491,302</w:t>
            </w:r>
          </w:p>
        </w:tc>
        <w:tc>
          <w:tcPr>
            <w:tcW w:w="1118" w:type="dxa"/>
            <w:vAlign w:val="center"/>
          </w:tcPr>
          <w:p w14:paraId="0E3C51F4"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£449,500</w:t>
            </w:r>
          </w:p>
        </w:tc>
        <w:tc>
          <w:tcPr>
            <w:tcW w:w="1118" w:type="dxa"/>
            <w:vAlign w:val="center"/>
          </w:tcPr>
          <w:p w14:paraId="3B20B10B"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£369,984</w:t>
            </w:r>
          </w:p>
        </w:tc>
        <w:tc>
          <w:tcPr>
            <w:tcW w:w="1238" w:type="dxa"/>
            <w:vAlign w:val="center"/>
          </w:tcPr>
          <w:p w14:paraId="7034BDB2"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£415,699</w:t>
            </w:r>
          </w:p>
        </w:tc>
        <w:tc>
          <w:tcPr>
            <w:tcW w:w="1128" w:type="dxa"/>
            <w:vAlign w:val="center"/>
          </w:tcPr>
          <w:p w14:paraId="325E598A"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£431,456</w:t>
            </w:r>
          </w:p>
        </w:tc>
        <w:tc>
          <w:tcPr>
            <w:tcW w:w="1210" w:type="dxa"/>
            <w:vAlign w:val="center"/>
          </w:tcPr>
          <w:p w14:paraId="689DD0FB"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£442,304</w:t>
            </w:r>
          </w:p>
        </w:tc>
      </w:tr>
      <w:tr w:rsidR="00FF1AEB" w:rsidRPr="00FD7D5A" w14:paraId="461DFD6F" w14:textId="77777777" w:rsidTr="009231C3">
        <w:tc>
          <w:tcPr>
            <w:tcW w:w="1952" w:type="dxa"/>
            <w:vAlign w:val="center"/>
          </w:tcPr>
          <w:p w14:paraId="54AFB2DF"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Carbon Saving (tCO2e)</w:t>
            </w:r>
          </w:p>
        </w:tc>
        <w:tc>
          <w:tcPr>
            <w:tcW w:w="1118" w:type="dxa"/>
            <w:vAlign w:val="center"/>
          </w:tcPr>
          <w:p w14:paraId="736DF405"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w:t>
            </w:r>
          </w:p>
        </w:tc>
        <w:tc>
          <w:tcPr>
            <w:tcW w:w="1118" w:type="dxa"/>
            <w:vAlign w:val="center"/>
          </w:tcPr>
          <w:p w14:paraId="5C3749F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217</w:t>
            </w:r>
          </w:p>
        </w:tc>
        <w:tc>
          <w:tcPr>
            <w:tcW w:w="1118" w:type="dxa"/>
            <w:vAlign w:val="center"/>
          </w:tcPr>
          <w:p w14:paraId="501C929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249</w:t>
            </w:r>
          </w:p>
        </w:tc>
        <w:tc>
          <w:tcPr>
            <w:tcW w:w="1238" w:type="dxa"/>
            <w:vAlign w:val="center"/>
          </w:tcPr>
          <w:p w14:paraId="732FB3B7"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332</w:t>
            </w:r>
          </w:p>
        </w:tc>
        <w:tc>
          <w:tcPr>
            <w:tcW w:w="1128" w:type="dxa"/>
            <w:vAlign w:val="center"/>
          </w:tcPr>
          <w:p w14:paraId="080E7B08"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+70</w:t>
            </w:r>
          </w:p>
        </w:tc>
        <w:tc>
          <w:tcPr>
            <w:tcW w:w="1210" w:type="dxa"/>
            <w:vAlign w:val="center"/>
          </w:tcPr>
          <w:p w14:paraId="2E9285A6"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168</w:t>
            </w:r>
          </w:p>
        </w:tc>
      </w:tr>
      <w:tr w:rsidR="00FF1AEB" w:rsidRPr="00FD7D5A" w14:paraId="174AFDA4" w14:textId="77777777" w:rsidTr="009231C3">
        <w:trPr>
          <w:trHeight w:val="241"/>
        </w:trPr>
        <w:tc>
          <w:tcPr>
            <w:tcW w:w="1952" w:type="dxa"/>
            <w:shd w:val="clear" w:color="auto" w:fill="D6E3BC" w:themeFill="accent3" w:themeFillTint="66"/>
            <w:vAlign w:val="center"/>
          </w:tcPr>
          <w:p w14:paraId="329F92B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Cumulative carbon savings (tCO2e)</w:t>
            </w:r>
          </w:p>
        </w:tc>
        <w:tc>
          <w:tcPr>
            <w:tcW w:w="6930" w:type="dxa"/>
            <w:gridSpan w:val="6"/>
            <w:shd w:val="clear" w:color="auto" w:fill="D6E3BC" w:themeFill="accent3" w:themeFillTint="66"/>
            <w:vAlign w:val="center"/>
          </w:tcPr>
          <w:p w14:paraId="2ECD5BE4"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896 tCO2e  (-34%)</w:t>
            </w:r>
          </w:p>
        </w:tc>
      </w:tr>
      <w:tr w:rsidR="00FF1AEB" w:rsidRPr="00FD7D5A" w14:paraId="624F1A53" w14:textId="77777777" w:rsidTr="009231C3">
        <w:trPr>
          <w:trHeight w:val="241"/>
        </w:trPr>
        <w:tc>
          <w:tcPr>
            <w:tcW w:w="1952" w:type="dxa"/>
            <w:shd w:val="clear" w:color="auto" w:fill="D6E3BC" w:themeFill="accent3" w:themeFillTint="66"/>
            <w:vAlign w:val="center"/>
          </w:tcPr>
          <w:p w14:paraId="32F13ED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Cost savings (£)</w:t>
            </w:r>
          </w:p>
        </w:tc>
        <w:tc>
          <w:tcPr>
            <w:tcW w:w="6930" w:type="dxa"/>
            <w:gridSpan w:val="6"/>
            <w:shd w:val="clear" w:color="auto" w:fill="D6E3BC" w:themeFill="accent3" w:themeFillTint="66"/>
            <w:vAlign w:val="center"/>
          </w:tcPr>
          <w:p w14:paraId="6C03A147" w14:textId="22024DAB" w:rsidR="00FF1AEB" w:rsidRPr="00FD7D5A" w:rsidRDefault="00FF1AEB" w:rsidP="009231C3">
            <w:pPr>
              <w:pStyle w:val="ACsubheading"/>
              <w:numPr>
                <w:ilvl w:val="0"/>
                <w:numId w:val="0"/>
              </w:numPr>
              <w:jc w:val="center"/>
              <w:rPr>
                <w:b w:val="0"/>
                <w:sz w:val="19"/>
                <w:szCs w:val="19"/>
              </w:rPr>
            </w:pPr>
            <w:r w:rsidRPr="00FD7D5A">
              <w:rPr>
                <w:b w:val="0"/>
                <w:sz w:val="19"/>
                <w:szCs w:val="19"/>
              </w:rPr>
              <w:t xml:space="preserve">£222,068 (-33%) </w:t>
            </w:r>
            <w:r w:rsidRPr="00FD7D5A">
              <w:rPr>
                <w:b w:val="0"/>
                <w:sz w:val="19"/>
                <w:szCs w:val="19"/>
              </w:rPr>
              <w:br/>
              <w:t>(calculated using current energy prices</w:t>
            </w:r>
            <w:r w:rsidR="009231C3">
              <w:rPr>
                <w:b w:val="0"/>
                <w:sz w:val="19"/>
                <w:szCs w:val="19"/>
              </w:rPr>
              <w:t xml:space="preserve"> applied </w:t>
            </w:r>
            <w:r w:rsidR="009231C3">
              <w:rPr>
                <w:b w:val="0"/>
                <w:sz w:val="19"/>
                <w:szCs w:val="19"/>
              </w:rPr>
              <w:br/>
              <w:t>to energy use in the baseline year</w:t>
            </w:r>
            <w:r w:rsidRPr="00FD7D5A">
              <w:rPr>
                <w:b w:val="0"/>
                <w:sz w:val="19"/>
                <w:szCs w:val="19"/>
              </w:rPr>
              <w:t xml:space="preserve">) </w:t>
            </w:r>
          </w:p>
        </w:tc>
      </w:tr>
      <w:tr w:rsidR="00FF1AEB" w:rsidRPr="00FD7D5A" w14:paraId="6B668C86" w14:textId="77777777" w:rsidTr="009231C3">
        <w:tc>
          <w:tcPr>
            <w:tcW w:w="1952" w:type="dxa"/>
            <w:vAlign w:val="center"/>
          </w:tcPr>
          <w:p w14:paraId="0FB1D3F9"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Business Travel</w:t>
            </w:r>
            <w:r w:rsidRPr="00FD7D5A">
              <w:rPr>
                <w:b w:val="0"/>
                <w:sz w:val="19"/>
                <w:szCs w:val="19"/>
                <w:vertAlign w:val="superscript"/>
              </w:rPr>
              <w:t>1,2</w:t>
            </w:r>
            <w:r w:rsidRPr="00FD7D5A">
              <w:rPr>
                <w:b w:val="0"/>
                <w:sz w:val="19"/>
                <w:szCs w:val="19"/>
              </w:rPr>
              <w:t xml:space="preserve"> (tCO2e)</w:t>
            </w:r>
          </w:p>
        </w:tc>
        <w:tc>
          <w:tcPr>
            <w:tcW w:w="1118" w:type="dxa"/>
            <w:vAlign w:val="center"/>
          </w:tcPr>
          <w:p w14:paraId="341DA790"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310</w:t>
            </w:r>
          </w:p>
        </w:tc>
        <w:tc>
          <w:tcPr>
            <w:tcW w:w="1118" w:type="dxa"/>
            <w:vAlign w:val="center"/>
          </w:tcPr>
          <w:p w14:paraId="70B20A50"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237</w:t>
            </w:r>
          </w:p>
        </w:tc>
        <w:tc>
          <w:tcPr>
            <w:tcW w:w="1118" w:type="dxa"/>
            <w:vAlign w:val="center"/>
          </w:tcPr>
          <w:p w14:paraId="7942987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169</w:t>
            </w:r>
          </w:p>
        </w:tc>
        <w:tc>
          <w:tcPr>
            <w:tcW w:w="1238" w:type="dxa"/>
            <w:vAlign w:val="center"/>
          </w:tcPr>
          <w:p w14:paraId="0ADF3126"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270</w:t>
            </w:r>
          </w:p>
        </w:tc>
        <w:tc>
          <w:tcPr>
            <w:tcW w:w="1128" w:type="dxa"/>
            <w:vAlign w:val="center"/>
          </w:tcPr>
          <w:p w14:paraId="2F6D294A"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262</w:t>
            </w:r>
          </w:p>
        </w:tc>
        <w:tc>
          <w:tcPr>
            <w:tcW w:w="1210" w:type="dxa"/>
            <w:vAlign w:val="center"/>
          </w:tcPr>
          <w:p w14:paraId="09D5D55A"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276</w:t>
            </w:r>
          </w:p>
        </w:tc>
      </w:tr>
      <w:tr w:rsidR="00FF1AEB" w:rsidRPr="00FD7D5A" w14:paraId="6D21D9D5" w14:textId="77777777" w:rsidTr="009231C3">
        <w:tc>
          <w:tcPr>
            <w:tcW w:w="1952" w:type="dxa"/>
            <w:vAlign w:val="center"/>
          </w:tcPr>
          <w:p w14:paraId="5829DEAC"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lastRenderedPageBreak/>
              <w:t>Business travel costs (£)</w:t>
            </w:r>
          </w:p>
        </w:tc>
        <w:tc>
          <w:tcPr>
            <w:tcW w:w="1118" w:type="dxa"/>
            <w:vAlign w:val="center"/>
          </w:tcPr>
          <w:p w14:paraId="59505F33"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£150,303</w:t>
            </w:r>
          </w:p>
        </w:tc>
        <w:tc>
          <w:tcPr>
            <w:tcW w:w="1118" w:type="dxa"/>
            <w:vAlign w:val="center"/>
          </w:tcPr>
          <w:p w14:paraId="7B6104E2"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£248,785</w:t>
            </w:r>
          </w:p>
        </w:tc>
        <w:tc>
          <w:tcPr>
            <w:tcW w:w="1118" w:type="dxa"/>
            <w:vAlign w:val="center"/>
          </w:tcPr>
          <w:p w14:paraId="54055EB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£164,537</w:t>
            </w:r>
          </w:p>
        </w:tc>
        <w:tc>
          <w:tcPr>
            <w:tcW w:w="1238" w:type="dxa"/>
            <w:vAlign w:val="center"/>
          </w:tcPr>
          <w:p w14:paraId="6D10769D"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£265,217</w:t>
            </w:r>
          </w:p>
        </w:tc>
        <w:tc>
          <w:tcPr>
            <w:tcW w:w="1128" w:type="dxa"/>
            <w:vAlign w:val="center"/>
          </w:tcPr>
          <w:p w14:paraId="2BA34BD7"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£266,576</w:t>
            </w:r>
          </w:p>
        </w:tc>
        <w:tc>
          <w:tcPr>
            <w:tcW w:w="1210" w:type="dxa"/>
            <w:vAlign w:val="center"/>
          </w:tcPr>
          <w:p w14:paraId="32A132AD"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£349,775</w:t>
            </w:r>
          </w:p>
        </w:tc>
      </w:tr>
      <w:tr w:rsidR="00FF1AEB" w:rsidRPr="00FD7D5A" w14:paraId="250E9AEE" w14:textId="77777777" w:rsidTr="009231C3">
        <w:tc>
          <w:tcPr>
            <w:tcW w:w="1952" w:type="dxa"/>
            <w:vAlign w:val="center"/>
          </w:tcPr>
          <w:p w14:paraId="46AEA90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Carbon Saving (tCO2e)</w:t>
            </w:r>
          </w:p>
        </w:tc>
        <w:tc>
          <w:tcPr>
            <w:tcW w:w="1118" w:type="dxa"/>
            <w:vAlign w:val="center"/>
          </w:tcPr>
          <w:p w14:paraId="35984E7C"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w:t>
            </w:r>
          </w:p>
        </w:tc>
        <w:tc>
          <w:tcPr>
            <w:tcW w:w="1118" w:type="dxa"/>
            <w:vAlign w:val="center"/>
          </w:tcPr>
          <w:p w14:paraId="2F07C111"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73</w:t>
            </w:r>
          </w:p>
        </w:tc>
        <w:tc>
          <w:tcPr>
            <w:tcW w:w="1118" w:type="dxa"/>
            <w:vAlign w:val="center"/>
          </w:tcPr>
          <w:p w14:paraId="578670BB"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68</w:t>
            </w:r>
          </w:p>
        </w:tc>
        <w:tc>
          <w:tcPr>
            <w:tcW w:w="1238" w:type="dxa"/>
            <w:vAlign w:val="center"/>
          </w:tcPr>
          <w:p w14:paraId="5B9FA1A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+101</w:t>
            </w:r>
          </w:p>
        </w:tc>
        <w:tc>
          <w:tcPr>
            <w:tcW w:w="1128" w:type="dxa"/>
            <w:vAlign w:val="center"/>
          </w:tcPr>
          <w:p w14:paraId="160A71B2"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8</w:t>
            </w:r>
          </w:p>
        </w:tc>
        <w:tc>
          <w:tcPr>
            <w:tcW w:w="1210" w:type="dxa"/>
            <w:vAlign w:val="center"/>
          </w:tcPr>
          <w:p w14:paraId="29B87934"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+14</w:t>
            </w:r>
          </w:p>
        </w:tc>
      </w:tr>
      <w:tr w:rsidR="00FF1AEB" w:rsidRPr="00FD7D5A" w14:paraId="3A435174" w14:textId="77777777" w:rsidTr="009231C3">
        <w:tc>
          <w:tcPr>
            <w:tcW w:w="1952" w:type="dxa"/>
            <w:shd w:val="clear" w:color="auto" w:fill="D6E3BC" w:themeFill="accent3" w:themeFillTint="66"/>
            <w:vAlign w:val="center"/>
          </w:tcPr>
          <w:p w14:paraId="398C3497" w14:textId="77777777" w:rsidR="00FF1AEB" w:rsidRPr="00FD7D5A" w:rsidRDefault="00FF1AEB" w:rsidP="002C42D6">
            <w:pPr>
              <w:pStyle w:val="ACsubheading"/>
              <w:numPr>
                <w:ilvl w:val="0"/>
                <w:numId w:val="0"/>
              </w:numPr>
              <w:rPr>
                <w:b w:val="0"/>
                <w:sz w:val="19"/>
                <w:szCs w:val="19"/>
              </w:rPr>
            </w:pPr>
            <w:r w:rsidRPr="00FD7D5A">
              <w:rPr>
                <w:b w:val="0"/>
                <w:sz w:val="19"/>
                <w:szCs w:val="19"/>
              </w:rPr>
              <w:t>Cumulative carbon savings (tCO2e)</w:t>
            </w:r>
          </w:p>
        </w:tc>
        <w:tc>
          <w:tcPr>
            <w:tcW w:w="6930" w:type="dxa"/>
            <w:gridSpan w:val="6"/>
            <w:shd w:val="clear" w:color="auto" w:fill="D6E3BC" w:themeFill="accent3" w:themeFillTint="66"/>
            <w:vAlign w:val="center"/>
          </w:tcPr>
          <w:p w14:paraId="52CA69A2"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34 tCO2e  (-11%)</w:t>
            </w:r>
          </w:p>
        </w:tc>
      </w:tr>
      <w:tr w:rsidR="00FF1AEB" w:rsidRPr="00FD7D5A" w14:paraId="4AA00FE4" w14:textId="77777777" w:rsidTr="009231C3">
        <w:tc>
          <w:tcPr>
            <w:tcW w:w="1952" w:type="dxa"/>
            <w:shd w:val="clear" w:color="auto" w:fill="D6E3BC" w:themeFill="accent3" w:themeFillTint="66"/>
            <w:vAlign w:val="center"/>
          </w:tcPr>
          <w:p w14:paraId="4398B4AB" w14:textId="77777777" w:rsidR="00FF1AEB" w:rsidRPr="00FD7D5A" w:rsidRDefault="00FF1AEB" w:rsidP="002C42D6">
            <w:pPr>
              <w:pStyle w:val="ACsubheading"/>
              <w:numPr>
                <w:ilvl w:val="0"/>
                <w:numId w:val="0"/>
              </w:numPr>
              <w:rPr>
                <w:b w:val="0"/>
                <w:sz w:val="19"/>
                <w:szCs w:val="19"/>
              </w:rPr>
            </w:pPr>
            <w:r w:rsidRPr="00FD7D5A">
              <w:rPr>
                <w:b w:val="0"/>
                <w:sz w:val="19"/>
                <w:szCs w:val="19"/>
              </w:rPr>
              <w:t>Cost savings (£)</w:t>
            </w:r>
          </w:p>
        </w:tc>
        <w:tc>
          <w:tcPr>
            <w:tcW w:w="6930" w:type="dxa"/>
            <w:gridSpan w:val="6"/>
            <w:shd w:val="clear" w:color="auto" w:fill="D6E3BC" w:themeFill="accent3" w:themeFillTint="66"/>
            <w:vAlign w:val="center"/>
          </w:tcPr>
          <w:p w14:paraId="5457E2AE" w14:textId="77777777" w:rsidR="00FF1AEB" w:rsidRPr="00FD7D5A" w:rsidRDefault="00FF1AEB" w:rsidP="002C42D6">
            <w:pPr>
              <w:pStyle w:val="ACsubheading"/>
              <w:numPr>
                <w:ilvl w:val="0"/>
                <w:numId w:val="0"/>
              </w:numPr>
              <w:jc w:val="center"/>
              <w:rPr>
                <w:b w:val="0"/>
                <w:sz w:val="19"/>
                <w:szCs w:val="19"/>
              </w:rPr>
            </w:pPr>
            <w:r w:rsidRPr="00FD7D5A">
              <w:rPr>
                <w:b w:val="0"/>
                <w:sz w:val="19"/>
                <w:szCs w:val="19"/>
              </w:rPr>
              <w:t>+£150,474  (+23%)</w:t>
            </w:r>
          </w:p>
        </w:tc>
      </w:tr>
    </w:tbl>
    <w:p w14:paraId="798E8021" w14:textId="77777777" w:rsidR="00FF1AEB" w:rsidRDefault="00FF1AEB" w:rsidP="00FF1AEB">
      <w:pPr>
        <w:pStyle w:val="FootnoteText"/>
      </w:pPr>
    </w:p>
    <w:p w14:paraId="6AD67E2D" w14:textId="77777777" w:rsidR="00FF1AEB" w:rsidRDefault="00FF1AEB" w:rsidP="00FF1AEB">
      <w:pPr>
        <w:pStyle w:val="FootnoteText"/>
      </w:pPr>
    </w:p>
    <w:p w14:paraId="41B37EDB" w14:textId="77777777" w:rsidR="00FF1AEB" w:rsidRPr="00FD7D5A" w:rsidRDefault="00FF1AEB" w:rsidP="00FF1AEB">
      <w:pPr>
        <w:pStyle w:val="FootnoteText"/>
        <w:rPr>
          <w:sz w:val="18"/>
        </w:rPr>
      </w:pPr>
      <w:r w:rsidRPr="00FD7D5A">
        <w:rPr>
          <w:rStyle w:val="FootnoteReference"/>
          <w:sz w:val="18"/>
        </w:rPr>
        <w:footnoteRef/>
      </w:r>
      <w:r w:rsidRPr="00FD7D5A">
        <w:rPr>
          <w:sz w:val="18"/>
        </w:rPr>
        <w:t xml:space="preserve">For consistency all emissions values have been calculated using Defra’s conversion factors for greenhouse gas reporting as they are updated annually.  In 2013-14, all prior year conversion factors were restated and all data has been restated to reflect this change.  This has resulted in changes to all prior year and current emissions values.   </w:t>
      </w:r>
      <w:r w:rsidRPr="00FD7D5A">
        <w:rPr>
          <w:sz w:val="18"/>
        </w:rPr>
        <w:br/>
        <w:t xml:space="preserve"> </w:t>
      </w:r>
    </w:p>
    <w:p w14:paraId="1DC3B18D" w14:textId="3F06F49B" w:rsidR="009231C3" w:rsidRDefault="00FF1AEB" w:rsidP="00BE164B">
      <w:pPr>
        <w:pStyle w:val="ACsubheading"/>
        <w:numPr>
          <w:ilvl w:val="0"/>
          <w:numId w:val="0"/>
        </w:numPr>
        <w:rPr>
          <w:b w:val="0"/>
          <w:sz w:val="18"/>
        </w:rPr>
      </w:pPr>
      <w:r w:rsidRPr="00FD7D5A">
        <w:rPr>
          <w:b w:val="0"/>
          <w:sz w:val="18"/>
          <w:vertAlign w:val="superscript"/>
        </w:rPr>
        <w:t>2</w:t>
      </w:r>
      <w:r w:rsidRPr="00FD7D5A">
        <w:rPr>
          <w:b w:val="0"/>
          <w:sz w:val="18"/>
        </w:rPr>
        <w:t>Energy and business travel emission values have been restated to include transmission and distribution losses (T&amp;D) and well to tank (WTT) emissions.</w:t>
      </w:r>
    </w:p>
    <w:p w14:paraId="281C6D83" w14:textId="3D08CC53" w:rsidR="00BE164B" w:rsidRPr="00BE164B" w:rsidRDefault="00BE164B" w:rsidP="00BE164B">
      <w:pPr>
        <w:pStyle w:val="ACsubheading"/>
      </w:pPr>
      <w:r>
        <w:t xml:space="preserve">Summary of </w:t>
      </w:r>
      <w:r w:rsidR="001C62DE">
        <w:t xml:space="preserve">overall </w:t>
      </w:r>
      <w:r>
        <w:t>performance</w:t>
      </w:r>
      <w:r>
        <w:tab/>
      </w:r>
    </w:p>
    <w:p w14:paraId="0630EB68" w14:textId="36727169" w:rsidR="009231C3" w:rsidRPr="006F0F19" w:rsidRDefault="006007C4" w:rsidP="006F0F19">
      <w:pPr>
        <w:pStyle w:val="AClistparagraph"/>
        <w:numPr>
          <w:ilvl w:val="1"/>
          <w:numId w:val="1"/>
        </w:numPr>
      </w:pPr>
      <w:r>
        <w:t>All previous years</w:t>
      </w:r>
      <w:r w:rsidR="0089704A">
        <w:t>’</w:t>
      </w:r>
      <w:r>
        <w:t xml:space="preserve"> performance ha</w:t>
      </w:r>
      <w:r w:rsidR="0023656A">
        <w:t>ve</w:t>
      </w:r>
      <w:r>
        <w:t xml:space="preserve"> been reported based on the financial year.  However, t</w:t>
      </w:r>
      <w:r w:rsidR="00BE164B">
        <w:t xml:space="preserve">o broadly coincide with the inception of the Carbon Management </w:t>
      </w:r>
      <w:r w:rsidR="001C62DE">
        <w:t>Plan in November 2009, the strategy</w:t>
      </w:r>
      <w:r w:rsidR="00BE164B">
        <w:t xml:space="preserve"> was concluded at the end of December 2014.  A summary of our overall performance in relation to the corporate targets is illustrated in Table 2 below.  </w:t>
      </w:r>
    </w:p>
    <w:p w14:paraId="23643A99" w14:textId="43195486" w:rsidR="00BE164B" w:rsidRPr="00BE164B" w:rsidRDefault="00BE164B" w:rsidP="00BE164B">
      <w:pPr>
        <w:pStyle w:val="ACsubheading"/>
        <w:numPr>
          <w:ilvl w:val="0"/>
          <w:numId w:val="0"/>
        </w:numPr>
        <w:rPr>
          <w:b w:val="0"/>
          <w:i/>
        </w:rPr>
      </w:pPr>
      <w:r>
        <w:rPr>
          <w:b w:val="0"/>
          <w:i/>
        </w:rPr>
        <w:t>Table 2</w:t>
      </w:r>
      <w:r w:rsidRPr="00BE164B">
        <w:rPr>
          <w:b w:val="0"/>
          <w:i/>
        </w:rPr>
        <w:t xml:space="preserve"> </w:t>
      </w:r>
      <w:r>
        <w:rPr>
          <w:b w:val="0"/>
          <w:i/>
        </w:rPr>
        <w:t>Summary of overall performance</w:t>
      </w:r>
    </w:p>
    <w:tbl>
      <w:tblPr>
        <w:tblStyle w:val="TableGrid"/>
        <w:tblW w:w="0" w:type="auto"/>
        <w:tblLook w:val="04A0" w:firstRow="1" w:lastRow="0" w:firstColumn="1" w:lastColumn="0" w:noHBand="0" w:noVBand="1"/>
      </w:tblPr>
      <w:tblGrid>
        <w:gridCol w:w="2505"/>
        <w:gridCol w:w="1493"/>
        <w:gridCol w:w="1168"/>
        <w:gridCol w:w="1538"/>
        <w:gridCol w:w="1155"/>
      </w:tblGrid>
      <w:tr w:rsidR="004712E8" w:rsidRPr="00FD7D5A" w14:paraId="7F9A45BA" w14:textId="77777777" w:rsidTr="00613971">
        <w:trPr>
          <w:cnfStyle w:val="100000000000" w:firstRow="1" w:lastRow="0" w:firstColumn="0" w:lastColumn="0" w:oddVBand="0" w:evenVBand="0" w:oddHBand="0" w:evenHBand="0" w:firstRowFirstColumn="0" w:firstRowLastColumn="0" w:lastRowFirstColumn="0" w:lastRowLastColumn="0"/>
        </w:trPr>
        <w:tc>
          <w:tcPr>
            <w:tcW w:w="2505" w:type="dxa"/>
            <w:vAlign w:val="center"/>
          </w:tcPr>
          <w:p w14:paraId="1C3BFCAA" w14:textId="77777777" w:rsidR="004712E8" w:rsidRPr="00FD7D5A" w:rsidRDefault="004712E8" w:rsidP="002C42D6">
            <w:pPr>
              <w:pStyle w:val="ACsubheading"/>
              <w:numPr>
                <w:ilvl w:val="0"/>
                <w:numId w:val="0"/>
              </w:numPr>
              <w:jc w:val="center"/>
              <w:rPr>
                <w:sz w:val="19"/>
                <w:szCs w:val="19"/>
              </w:rPr>
            </w:pPr>
          </w:p>
        </w:tc>
        <w:tc>
          <w:tcPr>
            <w:tcW w:w="1493" w:type="dxa"/>
          </w:tcPr>
          <w:p w14:paraId="62774DED" w14:textId="1BA3336C" w:rsidR="004712E8" w:rsidRPr="00FD7D5A" w:rsidRDefault="004712E8" w:rsidP="002C42D6">
            <w:pPr>
              <w:pStyle w:val="ACsubheading"/>
              <w:numPr>
                <w:ilvl w:val="0"/>
                <w:numId w:val="0"/>
              </w:numPr>
              <w:jc w:val="center"/>
              <w:rPr>
                <w:sz w:val="19"/>
                <w:szCs w:val="19"/>
              </w:rPr>
            </w:pPr>
            <w:r>
              <w:rPr>
                <w:sz w:val="19"/>
                <w:szCs w:val="19"/>
              </w:rPr>
              <w:t>Reduction target (%)</w:t>
            </w:r>
          </w:p>
        </w:tc>
        <w:tc>
          <w:tcPr>
            <w:tcW w:w="1168" w:type="dxa"/>
          </w:tcPr>
          <w:p w14:paraId="4DE9857F" w14:textId="630972FD" w:rsidR="004712E8" w:rsidRDefault="00D76440" w:rsidP="00391BD8">
            <w:pPr>
              <w:pStyle w:val="ACsubheading"/>
              <w:numPr>
                <w:ilvl w:val="0"/>
                <w:numId w:val="0"/>
              </w:numPr>
              <w:jc w:val="center"/>
              <w:rPr>
                <w:sz w:val="19"/>
                <w:szCs w:val="19"/>
              </w:rPr>
            </w:pPr>
            <w:r>
              <w:rPr>
                <w:sz w:val="19"/>
                <w:szCs w:val="19"/>
              </w:rPr>
              <w:t>Baseline Dec 2008</w:t>
            </w:r>
          </w:p>
        </w:tc>
        <w:tc>
          <w:tcPr>
            <w:tcW w:w="1538" w:type="dxa"/>
            <w:vAlign w:val="center"/>
          </w:tcPr>
          <w:p w14:paraId="1C25B4B2" w14:textId="7C8D3F6E" w:rsidR="004712E8" w:rsidRPr="00FD7D5A" w:rsidRDefault="004712E8" w:rsidP="002C42D6">
            <w:pPr>
              <w:pStyle w:val="ACsubheading"/>
              <w:numPr>
                <w:ilvl w:val="0"/>
                <w:numId w:val="0"/>
              </w:numPr>
              <w:jc w:val="center"/>
              <w:rPr>
                <w:sz w:val="19"/>
                <w:szCs w:val="19"/>
              </w:rPr>
            </w:pPr>
            <w:r>
              <w:rPr>
                <w:sz w:val="19"/>
                <w:szCs w:val="19"/>
              </w:rPr>
              <w:t>Performance Dec 2014</w:t>
            </w:r>
          </w:p>
        </w:tc>
        <w:tc>
          <w:tcPr>
            <w:tcW w:w="1155" w:type="dxa"/>
            <w:vAlign w:val="center"/>
          </w:tcPr>
          <w:p w14:paraId="6D91BFA4" w14:textId="1E458AA5" w:rsidR="004712E8" w:rsidRPr="00FD7D5A" w:rsidRDefault="004712E8" w:rsidP="002C42D6">
            <w:pPr>
              <w:pStyle w:val="ACsubheading"/>
              <w:numPr>
                <w:ilvl w:val="0"/>
                <w:numId w:val="0"/>
              </w:numPr>
              <w:jc w:val="center"/>
              <w:rPr>
                <w:sz w:val="19"/>
                <w:szCs w:val="19"/>
              </w:rPr>
            </w:pPr>
            <w:r>
              <w:rPr>
                <w:sz w:val="19"/>
                <w:szCs w:val="19"/>
              </w:rPr>
              <w:t>Savings</w:t>
            </w:r>
          </w:p>
        </w:tc>
      </w:tr>
      <w:tr w:rsidR="004712E8" w:rsidRPr="00FD7D5A" w14:paraId="2B207A22" w14:textId="77777777" w:rsidTr="00613971">
        <w:tc>
          <w:tcPr>
            <w:tcW w:w="2505" w:type="dxa"/>
            <w:vAlign w:val="bottom"/>
          </w:tcPr>
          <w:p w14:paraId="5C71EC6D" w14:textId="033264F4" w:rsidR="004712E8" w:rsidRPr="00FD7D5A" w:rsidRDefault="004712E8" w:rsidP="001C62DE">
            <w:pPr>
              <w:pStyle w:val="ACsubheading"/>
              <w:numPr>
                <w:ilvl w:val="0"/>
                <w:numId w:val="0"/>
              </w:numPr>
              <w:jc w:val="center"/>
              <w:rPr>
                <w:b w:val="0"/>
                <w:sz w:val="19"/>
                <w:szCs w:val="19"/>
              </w:rPr>
            </w:pPr>
            <w:r w:rsidRPr="00FD7D5A">
              <w:rPr>
                <w:b w:val="0"/>
                <w:sz w:val="19"/>
                <w:szCs w:val="19"/>
              </w:rPr>
              <w:t>Energy</w:t>
            </w:r>
            <w:r>
              <w:rPr>
                <w:b w:val="0"/>
                <w:sz w:val="19"/>
                <w:szCs w:val="19"/>
              </w:rPr>
              <w:t xml:space="preserve"> emissions</w:t>
            </w:r>
            <w:r w:rsidRPr="00FD7D5A">
              <w:rPr>
                <w:b w:val="0"/>
                <w:sz w:val="19"/>
                <w:szCs w:val="19"/>
              </w:rPr>
              <w:t xml:space="preserve"> (tC02e)</w:t>
            </w:r>
          </w:p>
        </w:tc>
        <w:tc>
          <w:tcPr>
            <w:tcW w:w="1493" w:type="dxa"/>
          </w:tcPr>
          <w:p w14:paraId="04A6F23A" w14:textId="12A97CE2" w:rsidR="004712E8" w:rsidRPr="00613971" w:rsidRDefault="004712E8" w:rsidP="002C42D6">
            <w:pPr>
              <w:pStyle w:val="ACsubheading"/>
              <w:numPr>
                <w:ilvl w:val="0"/>
                <w:numId w:val="0"/>
              </w:numPr>
              <w:jc w:val="center"/>
              <w:rPr>
                <w:sz w:val="19"/>
                <w:szCs w:val="19"/>
              </w:rPr>
            </w:pPr>
            <w:r>
              <w:rPr>
                <w:b w:val="0"/>
                <w:sz w:val="19"/>
                <w:szCs w:val="19"/>
              </w:rPr>
              <w:br/>
            </w:r>
            <w:r w:rsidRPr="00613971">
              <w:rPr>
                <w:sz w:val="19"/>
                <w:szCs w:val="19"/>
              </w:rPr>
              <w:t>40%</w:t>
            </w:r>
          </w:p>
        </w:tc>
        <w:tc>
          <w:tcPr>
            <w:tcW w:w="1168" w:type="dxa"/>
          </w:tcPr>
          <w:p w14:paraId="7E8F5FCF" w14:textId="669DD6F8" w:rsidR="004712E8" w:rsidRDefault="004712E8" w:rsidP="00D76440">
            <w:pPr>
              <w:pStyle w:val="ACsubheading"/>
              <w:numPr>
                <w:ilvl w:val="0"/>
                <w:numId w:val="0"/>
              </w:numPr>
              <w:jc w:val="center"/>
              <w:rPr>
                <w:b w:val="0"/>
                <w:sz w:val="19"/>
                <w:szCs w:val="19"/>
              </w:rPr>
            </w:pPr>
            <w:r>
              <w:rPr>
                <w:b w:val="0"/>
                <w:sz w:val="19"/>
                <w:szCs w:val="19"/>
              </w:rPr>
              <w:br/>
            </w:r>
            <w:r w:rsidR="00D76440">
              <w:rPr>
                <w:b w:val="0"/>
                <w:sz w:val="19"/>
                <w:szCs w:val="19"/>
              </w:rPr>
              <w:t>1951</w:t>
            </w:r>
          </w:p>
        </w:tc>
        <w:tc>
          <w:tcPr>
            <w:tcW w:w="1538" w:type="dxa"/>
            <w:vAlign w:val="bottom"/>
          </w:tcPr>
          <w:p w14:paraId="0FD5A88D" w14:textId="365477E9" w:rsidR="004712E8" w:rsidRPr="00FD7D5A" w:rsidRDefault="00D76440" w:rsidP="002C42D6">
            <w:pPr>
              <w:pStyle w:val="ACsubheading"/>
              <w:numPr>
                <w:ilvl w:val="0"/>
                <w:numId w:val="0"/>
              </w:numPr>
              <w:jc w:val="center"/>
              <w:rPr>
                <w:b w:val="0"/>
                <w:sz w:val="19"/>
                <w:szCs w:val="19"/>
              </w:rPr>
            </w:pPr>
            <w:r>
              <w:rPr>
                <w:b w:val="0"/>
                <w:sz w:val="19"/>
                <w:szCs w:val="19"/>
              </w:rPr>
              <w:t>1261</w:t>
            </w:r>
          </w:p>
        </w:tc>
        <w:tc>
          <w:tcPr>
            <w:tcW w:w="1155" w:type="dxa"/>
            <w:vAlign w:val="bottom"/>
          </w:tcPr>
          <w:p w14:paraId="12AFDD9A" w14:textId="04D2DA22" w:rsidR="004712E8" w:rsidRPr="00324F51" w:rsidRDefault="004712E8" w:rsidP="002C42D6">
            <w:pPr>
              <w:pStyle w:val="ACsubheading"/>
              <w:numPr>
                <w:ilvl w:val="0"/>
                <w:numId w:val="0"/>
              </w:numPr>
              <w:jc w:val="center"/>
              <w:rPr>
                <w:sz w:val="19"/>
                <w:szCs w:val="19"/>
              </w:rPr>
            </w:pPr>
            <w:r w:rsidRPr="00324F51">
              <w:rPr>
                <w:sz w:val="19"/>
                <w:szCs w:val="19"/>
              </w:rPr>
              <w:t xml:space="preserve"> </w:t>
            </w:r>
            <w:r w:rsidRPr="00324F51">
              <w:rPr>
                <w:sz w:val="19"/>
                <w:szCs w:val="19"/>
              </w:rPr>
              <w:br/>
            </w:r>
            <w:r w:rsidR="00981727" w:rsidRPr="00324F51">
              <w:rPr>
                <w:sz w:val="19"/>
                <w:szCs w:val="19"/>
              </w:rPr>
              <w:t>-</w:t>
            </w:r>
            <w:r w:rsidR="00583F19">
              <w:rPr>
                <w:sz w:val="19"/>
                <w:szCs w:val="19"/>
              </w:rPr>
              <w:t>35.1</w:t>
            </w:r>
            <w:r w:rsidRPr="00324F51">
              <w:rPr>
                <w:sz w:val="19"/>
                <w:szCs w:val="19"/>
              </w:rPr>
              <w:t>%</w:t>
            </w:r>
          </w:p>
        </w:tc>
      </w:tr>
      <w:tr w:rsidR="004712E8" w:rsidRPr="00FD7D5A" w14:paraId="6B557469" w14:textId="77777777" w:rsidTr="00613971">
        <w:tc>
          <w:tcPr>
            <w:tcW w:w="2505" w:type="dxa"/>
            <w:vAlign w:val="center"/>
          </w:tcPr>
          <w:p w14:paraId="17FA477D" w14:textId="0B297C8A" w:rsidR="004712E8" w:rsidRPr="00FD7D5A" w:rsidRDefault="004712E8" w:rsidP="001E4974">
            <w:pPr>
              <w:pStyle w:val="ACsubheading"/>
              <w:numPr>
                <w:ilvl w:val="0"/>
                <w:numId w:val="0"/>
              </w:numPr>
              <w:jc w:val="center"/>
              <w:rPr>
                <w:b w:val="0"/>
                <w:sz w:val="19"/>
                <w:szCs w:val="19"/>
              </w:rPr>
            </w:pPr>
            <w:r>
              <w:rPr>
                <w:b w:val="0"/>
                <w:sz w:val="19"/>
                <w:szCs w:val="19"/>
              </w:rPr>
              <w:t>Business travel emissions (tCO2e)</w:t>
            </w:r>
          </w:p>
        </w:tc>
        <w:tc>
          <w:tcPr>
            <w:tcW w:w="1493" w:type="dxa"/>
          </w:tcPr>
          <w:p w14:paraId="1606F0D1" w14:textId="0B28B0EA" w:rsidR="004712E8" w:rsidRPr="00613971" w:rsidRDefault="004712E8" w:rsidP="002C42D6">
            <w:pPr>
              <w:pStyle w:val="ACsubheading"/>
              <w:numPr>
                <w:ilvl w:val="0"/>
                <w:numId w:val="0"/>
              </w:numPr>
              <w:jc w:val="center"/>
              <w:rPr>
                <w:sz w:val="19"/>
                <w:szCs w:val="19"/>
              </w:rPr>
            </w:pPr>
            <w:r>
              <w:rPr>
                <w:b w:val="0"/>
                <w:sz w:val="19"/>
                <w:szCs w:val="19"/>
              </w:rPr>
              <w:br/>
            </w:r>
            <w:r w:rsidRPr="00613971">
              <w:rPr>
                <w:sz w:val="19"/>
                <w:szCs w:val="19"/>
              </w:rPr>
              <w:t>15%</w:t>
            </w:r>
          </w:p>
        </w:tc>
        <w:tc>
          <w:tcPr>
            <w:tcW w:w="1168" w:type="dxa"/>
          </w:tcPr>
          <w:p w14:paraId="1BDA45C0" w14:textId="67325BB9" w:rsidR="004712E8" w:rsidRDefault="00583F19" w:rsidP="002C42D6">
            <w:pPr>
              <w:pStyle w:val="ACsubheading"/>
              <w:numPr>
                <w:ilvl w:val="0"/>
                <w:numId w:val="0"/>
              </w:numPr>
              <w:jc w:val="center"/>
              <w:rPr>
                <w:b w:val="0"/>
                <w:sz w:val="19"/>
                <w:szCs w:val="19"/>
              </w:rPr>
            </w:pPr>
            <w:r>
              <w:rPr>
                <w:b w:val="0"/>
                <w:sz w:val="19"/>
                <w:szCs w:val="19"/>
              </w:rPr>
              <w:br/>
              <w:t>237</w:t>
            </w:r>
            <w:r w:rsidRPr="001E4974">
              <w:rPr>
                <w:b w:val="0"/>
                <w:sz w:val="19"/>
                <w:szCs w:val="19"/>
                <w:vertAlign w:val="superscript"/>
              </w:rPr>
              <w:t>1</w:t>
            </w:r>
          </w:p>
        </w:tc>
        <w:tc>
          <w:tcPr>
            <w:tcW w:w="1538" w:type="dxa"/>
            <w:vAlign w:val="center"/>
          </w:tcPr>
          <w:p w14:paraId="37557789" w14:textId="195900E2" w:rsidR="004712E8" w:rsidRPr="00FD7D5A" w:rsidRDefault="00583F19" w:rsidP="002C42D6">
            <w:pPr>
              <w:pStyle w:val="ACsubheading"/>
              <w:numPr>
                <w:ilvl w:val="0"/>
                <w:numId w:val="0"/>
              </w:numPr>
              <w:jc w:val="center"/>
              <w:rPr>
                <w:b w:val="0"/>
                <w:sz w:val="19"/>
                <w:szCs w:val="19"/>
              </w:rPr>
            </w:pPr>
            <w:r>
              <w:rPr>
                <w:b w:val="0"/>
                <w:sz w:val="19"/>
                <w:szCs w:val="19"/>
              </w:rPr>
              <w:br/>
              <w:t>229</w:t>
            </w:r>
            <w:r w:rsidR="004712E8" w:rsidRPr="001E4974">
              <w:rPr>
                <w:b w:val="0"/>
                <w:sz w:val="19"/>
                <w:szCs w:val="19"/>
                <w:vertAlign w:val="superscript"/>
              </w:rPr>
              <w:t>1</w:t>
            </w:r>
          </w:p>
        </w:tc>
        <w:tc>
          <w:tcPr>
            <w:tcW w:w="1155" w:type="dxa"/>
            <w:vAlign w:val="center"/>
          </w:tcPr>
          <w:p w14:paraId="64D7A18D" w14:textId="6C9F7EF5" w:rsidR="004712E8" w:rsidRPr="00324F51" w:rsidRDefault="004712E8" w:rsidP="001C62DE">
            <w:pPr>
              <w:pStyle w:val="ACsubheading"/>
              <w:numPr>
                <w:ilvl w:val="0"/>
                <w:numId w:val="0"/>
              </w:numPr>
              <w:jc w:val="center"/>
              <w:rPr>
                <w:sz w:val="19"/>
                <w:szCs w:val="19"/>
              </w:rPr>
            </w:pPr>
            <w:r w:rsidRPr="00324F51">
              <w:rPr>
                <w:sz w:val="19"/>
                <w:szCs w:val="19"/>
              </w:rPr>
              <w:br/>
            </w:r>
            <w:r w:rsidR="001B620F">
              <w:rPr>
                <w:sz w:val="19"/>
                <w:szCs w:val="19"/>
              </w:rPr>
              <w:t>-</w:t>
            </w:r>
            <w:r w:rsidR="00583F19">
              <w:rPr>
                <w:sz w:val="19"/>
                <w:szCs w:val="19"/>
              </w:rPr>
              <w:t>4</w:t>
            </w:r>
            <w:r w:rsidRPr="00324F51">
              <w:rPr>
                <w:sz w:val="19"/>
                <w:szCs w:val="19"/>
              </w:rPr>
              <w:t xml:space="preserve"> %</w:t>
            </w:r>
          </w:p>
        </w:tc>
      </w:tr>
      <w:tr w:rsidR="004712E8" w:rsidRPr="00FD7D5A" w14:paraId="654425B2" w14:textId="77777777" w:rsidTr="00613971">
        <w:tc>
          <w:tcPr>
            <w:tcW w:w="2505" w:type="dxa"/>
            <w:vAlign w:val="center"/>
          </w:tcPr>
          <w:p w14:paraId="485FC154" w14:textId="3D63C648" w:rsidR="004712E8" w:rsidRPr="00FD7D5A" w:rsidRDefault="004712E8" w:rsidP="002C42D6">
            <w:pPr>
              <w:pStyle w:val="ACsubheading"/>
              <w:numPr>
                <w:ilvl w:val="0"/>
                <w:numId w:val="0"/>
              </w:numPr>
              <w:jc w:val="center"/>
              <w:rPr>
                <w:b w:val="0"/>
                <w:sz w:val="19"/>
                <w:szCs w:val="19"/>
              </w:rPr>
            </w:pPr>
            <w:r>
              <w:rPr>
                <w:b w:val="0"/>
                <w:sz w:val="19"/>
                <w:szCs w:val="19"/>
              </w:rPr>
              <w:t xml:space="preserve">Total emissions </w:t>
            </w:r>
            <w:r w:rsidRPr="00FD7D5A">
              <w:rPr>
                <w:b w:val="0"/>
                <w:sz w:val="19"/>
                <w:szCs w:val="19"/>
              </w:rPr>
              <w:t>(tCO2e)</w:t>
            </w:r>
          </w:p>
        </w:tc>
        <w:tc>
          <w:tcPr>
            <w:tcW w:w="1493" w:type="dxa"/>
          </w:tcPr>
          <w:p w14:paraId="7F0A101C" w14:textId="5EF87699" w:rsidR="004712E8" w:rsidRDefault="004712E8" w:rsidP="002C42D6">
            <w:pPr>
              <w:pStyle w:val="ACsubheading"/>
              <w:numPr>
                <w:ilvl w:val="0"/>
                <w:numId w:val="0"/>
              </w:numPr>
              <w:jc w:val="center"/>
              <w:rPr>
                <w:b w:val="0"/>
                <w:sz w:val="19"/>
                <w:szCs w:val="19"/>
              </w:rPr>
            </w:pPr>
            <w:r>
              <w:rPr>
                <w:b w:val="0"/>
                <w:sz w:val="19"/>
                <w:szCs w:val="19"/>
              </w:rPr>
              <w:br/>
              <w:t>-</w:t>
            </w:r>
          </w:p>
        </w:tc>
        <w:tc>
          <w:tcPr>
            <w:tcW w:w="1168" w:type="dxa"/>
          </w:tcPr>
          <w:p w14:paraId="2205A6DF" w14:textId="4D607BC8" w:rsidR="004712E8" w:rsidRDefault="00583F19" w:rsidP="002C42D6">
            <w:pPr>
              <w:pStyle w:val="ACsubheading"/>
              <w:numPr>
                <w:ilvl w:val="0"/>
                <w:numId w:val="0"/>
              </w:numPr>
              <w:jc w:val="center"/>
              <w:rPr>
                <w:b w:val="0"/>
                <w:sz w:val="19"/>
                <w:szCs w:val="19"/>
              </w:rPr>
            </w:pPr>
            <w:r>
              <w:rPr>
                <w:b w:val="0"/>
                <w:sz w:val="19"/>
                <w:szCs w:val="19"/>
              </w:rPr>
              <w:br/>
              <w:t>2,188</w:t>
            </w:r>
          </w:p>
        </w:tc>
        <w:tc>
          <w:tcPr>
            <w:tcW w:w="1538" w:type="dxa"/>
            <w:vAlign w:val="center"/>
          </w:tcPr>
          <w:p w14:paraId="3B4808E4" w14:textId="173B61DC" w:rsidR="004712E8" w:rsidRPr="00FD7D5A" w:rsidRDefault="00583F19" w:rsidP="002C42D6">
            <w:pPr>
              <w:pStyle w:val="ACsubheading"/>
              <w:numPr>
                <w:ilvl w:val="0"/>
                <w:numId w:val="0"/>
              </w:numPr>
              <w:jc w:val="center"/>
              <w:rPr>
                <w:b w:val="0"/>
                <w:sz w:val="19"/>
                <w:szCs w:val="19"/>
              </w:rPr>
            </w:pPr>
            <w:r>
              <w:rPr>
                <w:b w:val="0"/>
                <w:sz w:val="19"/>
                <w:szCs w:val="19"/>
              </w:rPr>
              <w:br/>
              <w:t>1,490</w:t>
            </w:r>
          </w:p>
        </w:tc>
        <w:tc>
          <w:tcPr>
            <w:tcW w:w="1155" w:type="dxa"/>
            <w:vAlign w:val="center"/>
          </w:tcPr>
          <w:p w14:paraId="5589DB48" w14:textId="50F9DC4B" w:rsidR="004712E8" w:rsidRPr="00FD7D5A" w:rsidRDefault="00D773C4" w:rsidP="00613971">
            <w:pPr>
              <w:pStyle w:val="ACsubheading"/>
              <w:numPr>
                <w:ilvl w:val="0"/>
                <w:numId w:val="0"/>
              </w:numPr>
              <w:rPr>
                <w:b w:val="0"/>
                <w:sz w:val="19"/>
                <w:szCs w:val="19"/>
              </w:rPr>
            </w:pPr>
            <w:r>
              <w:rPr>
                <w:b w:val="0"/>
                <w:sz w:val="19"/>
                <w:szCs w:val="19"/>
              </w:rPr>
              <w:br/>
              <w:t xml:space="preserve">    -32</w:t>
            </w:r>
            <w:r w:rsidR="004712E8">
              <w:rPr>
                <w:b w:val="0"/>
                <w:sz w:val="19"/>
                <w:szCs w:val="19"/>
              </w:rPr>
              <w:t xml:space="preserve"> %</w:t>
            </w:r>
          </w:p>
        </w:tc>
      </w:tr>
    </w:tbl>
    <w:p w14:paraId="60E51CC7" w14:textId="77777777" w:rsidR="001E4974" w:rsidRDefault="001E4974" w:rsidP="001E4974">
      <w:pPr>
        <w:pStyle w:val="AClistparagraph"/>
        <w:numPr>
          <w:ilvl w:val="0"/>
          <w:numId w:val="0"/>
        </w:numPr>
      </w:pPr>
    </w:p>
    <w:p w14:paraId="4C0961B9" w14:textId="4EC2DEDA" w:rsidR="00BE164B" w:rsidRPr="001E4974" w:rsidRDefault="001E4974" w:rsidP="001C62DE">
      <w:pPr>
        <w:pStyle w:val="AClistparagraph"/>
        <w:numPr>
          <w:ilvl w:val="0"/>
          <w:numId w:val="0"/>
        </w:numPr>
        <w:rPr>
          <w:sz w:val="20"/>
        </w:rPr>
      </w:pPr>
      <w:r w:rsidRPr="001E4974">
        <w:rPr>
          <w:sz w:val="20"/>
          <w:vertAlign w:val="superscript"/>
        </w:rPr>
        <w:t>1</w:t>
      </w:r>
      <w:r w:rsidRPr="001E4974">
        <w:rPr>
          <w:sz w:val="20"/>
        </w:rPr>
        <w:t xml:space="preserve"> Does not include Members and AMSS business travel </w:t>
      </w:r>
      <w:r w:rsidR="00583F19">
        <w:rPr>
          <w:sz w:val="20"/>
        </w:rPr>
        <w:t>data for October – December</w:t>
      </w:r>
      <w:r w:rsidRPr="001E4974">
        <w:rPr>
          <w:sz w:val="20"/>
        </w:rPr>
        <w:t xml:space="preserve"> as data is reported three months in arrears to coincide with the deadline for claims.</w:t>
      </w:r>
      <w:r>
        <w:rPr>
          <w:sz w:val="20"/>
        </w:rPr>
        <w:br/>
      </w:r>
    </w:p>
    <w:p w14:paraId="5817F902" w14:textId="75ADCDB1" w:rsidR="00BE164B" w:rsidRPr="0037257E" w:rsidRDefault="00E76171" w:rsidP="00E36D5D">
      <w:pPr>
        <w:pStyle w:val="AClistparagraph"/>
        <w:numPr>
          <w:ilvl w:val="1"/>
          <w:numId w:val="1"/>
        </w:numPr>
      </w:pPr>
      <w:r>
        <w:t>Since the beginning</w:t>
      </w:r>
      <w:r w:rsidR="00BE164B">
        <w:t xml:space="preserve">, the success of the strategy was predicated on investing significantly in the buildings across our estate and in </w:t>
      </w:r>
      <w:r w:rsidR="00BE164B">
        <w:lastRenderedPageBreak/>
        <w:t>particular our most energy hungry building, T</w:t>
      </w:r>
      <w:r w:rsidR="00BE164B">
        <w:rPr>
          <w:rFonts w:ascii="Arial" w:hAnsi="Arial" w:cs="Arial"/>
        </w:rPr>
        <w:t>ŷ</w:t>
      </w:r>
      <w:r w:rsidR="00BE164B">
        <w:t xml:space="preserve"> Hywel.  This investment has been a significant contributor to our performance achievements year on year and the strategic annual improvement plans proposed played a key role in maintaining focus and achieving such high carbon savings. As a result of the investment and the improved usage of the building, T</w:t>
      </w:r>
      <w:r w:rsidR="00BE164B">
        <w:rPr>
          <w:rFonts w:ascii="Arial" w:hAnsi="Arial" w:cs="Arial"/>
        </w:rPr>
        <w:t>ŷ</w:t>
      </w:r>
      <w:r w:rsidR="00BE164B">
        <w:t xml:space="preserve"> Hywel alone has realised energy </w:t>
      </w:r>
      <w:r w:rsidR="00401577">
        <w:t xml:space="preserve">emission reductions </w:t>
      </w:r>
      <w:r w:rsidR="00F35BED">
        <w:t>of 39</w:t>
      </w:r>
      <w:r w:rsidR="00BE164B">
        <w:t>% compared to 2008/09.</w:t>
      </w:r>
      <w:r w:rsidR="00A71B74">
        <w:t xml:space="preserve">  This has also been reflected in improvements to</w:t>
      </w:r>
      <w:r w:rsidR="00E36D5D">
        <w:t xml:space="preserve"> the Display Energy Certificate (DEC) for the building which is</w:t>
      </w:r>
      <w:r w:rsidR="00A71B74">
        <w:t xml:space="preserve"> annexed in Table D.</w:t>
      </w:r>
    </w:p>
    <w:p w14:paraId="1F8154C5" w14:textId="59636E08" w:rsidR="003442FC" w:rsidRDefault="00FD7D5A" w:rsidP="00B81503">
      <w:pPr>
        <w:pStyle w:val="AClistparagraph"/>
        <w:numPr>
          <w:ilvl w:val="0"/>
          <w:numId w:val="0"/>
        </w:numPr>
        <w:ind w:left="567"/>
      </w:pPr>
      <w:r>
        <w:t>Over the course of the strategy</w:t>
      </w:r>
      <w:r w:rsidR="006527B5">
        <w:t>, there has been a gradual</w:t>
      </w:r>
      <w:r>
        <w:t xml:space="preserve"> </w:t>
      </w:r>
      <w:r w:rsidR="00B63FF1">
        <w:t>increase in the use of</w:t>
      </w:r>
      <w:r>
        <w:t xml:space="preserve"> low carbon modes of travel</w:t>
      </w:r>
      <w:r w:rsidR="00B63FF1">
        <w:t xml:space="preserve"> such as rail and coaches</w:t>
      </w:r>
      <w:r>
        <w:t xml:space="preserve"> that have contributed to </w:t>
      </w:r>
      <w:r w:rsidR="006527B5">
        <w:t xml:space="preserve">a reduction </w:t>
      </w:r>
      <w:r>
        <w:t>in emissions</w:t>
      </w:r>
      <w:r w:rsidR="006527B5">
        <w:t xml:space="preserve">, however necessary car and air travel still prevail as the primary modes </w:t>
      </w:r>
      <w:r w:rsidR="00B63FF1">
        <w:t xml:space="preserve">that </w:t>
      </w:r>
      <w:r w:rsidR="006527B5">
        <w:t>enable Members and staff to achieve the Commission’s strategic goal of promoting and</w:t>
      </w:r>
      <w:r w:rsidR="000660BF">
        <w:t xml:space="preserve"> serving the people of Wales.</w:t>
      </w:r>
      <w:r w:rsidR="003442FC">
        <w:t xml:space="preserve">  Encouragingly, </w:t>
      </w:r>
      <w:r w:rsidR="003442FC" w:rsidRPr="003442FC">
        <w:t xml:space="preserve">all transport emissions have been offset by advancements in manufacturing that </w:t>
      </w:r>
      <w:r w:rsidR="003442FC">
        <w:t xml:space="preserve">continue to </w:t>
      </w:r>
      <w:r w:rsidR="003442FC" w:rsidRPr="003442FC">
        <w:t>contribute to a reduced impact on the environment.</w:t>
      </w:r>
      <w:r w:rsidR="006E46C4">
        <w:t xml:space="preserve">  This achievement is all the more impressive as it is set against gradual improvements in data collection </w:t>
      </w:r>
      <w:r w:rsidR="00583F19">
        <w:t>since the start of the strategy</w:t>
      </w:r>
      <w:r w:rsidR="006E46C4">
        <w:t xml:space="preserve"> that have been added to the performance metrics when they have become available.</w:t>
      </w:r>
      <w:r w:rsidR="003442FC" w:rsidRPr="003442FC">
        <w:t xml:space="preserve">  </w:t>
      </w:r>
      <w:r w:rsidR="000660BF">
        <w:t xml:space="preserve"> </w:t>
      </w:r>
    </w:p>
    <w:p w14:paraId="4034F06C" w14:textId="3C962AC4" w:rsidR="00F72F95" w:rsidRPr="003442FC" w:rsidRDefault="00ED70E5" w:rsidP="006E46C4">
      <w:pPr>
        <w:pStyle w:val="AClistparagraph"/>
        <w:numPr>
          <w:ilvl w:val="0"/>
          <w:numId w:val="0"/>
        </w:numPr>
        <w:ind w:left="567"/>
        <w:rPr>
          <w:b/>
        </w:rPr>
      </w:pPr>
      <w:r>
        <w:t>A</w:t>
      </w:r>
      <w:r w:rsidR="00760FBE" w:rsidRPr="00760FBE">
        <w:t xml:space="preserve"> future business travel target will need to account for the key activities of Members and Commission staff, the necessity for Members to travel in their roles, and in particular the choice of modes they have available to them with respect to their geographic spread across Wales.</w:t>
      </w:r>
      <w:r w:rsidR="00B63FF1" w:rsidRPr="003442FC">
        <w:rPr>
          <w:b/>
        </w:rPr>
        <w:t xml:space="preserve">  </w:t>
      </w:r>
      <w:r w:rsidR="00FD7D5A">
        <w:t>However, if a continued shift to low carbon modes of travel continues together with the decarbonisation of cars, air and rail travel, this can only contribute to further reductions in emissions</w:t>
      </w:r>
      <w:r w:rsidR="00AE10B7">
        <w:t>.</w:t>
      </w:r>
    </w:p>
    <w:p w14:paraId="49F8267E" w14:textId="77777777" w:rsidR="00A215FC" w:rsidRDefault="00A215FC" w:rsidP="00A215FC">
      <w:pPr>
        <w:pStyle w:val="ACsubheading"/>
      </w:pPr>
      <w:r w:rsidRPr="0068314B">
        <w:t>Looking ahead</w:t>
      </w:r>
    </w:p>
    <w:p w14:paraId="59769B84" w14:textId="29FDA9A7" w:rsidR="002D1ED9" w:rsidRDefault="002D1ED9" w:rsidP="00E76171">
      <w:pPr>
        <w:pStyle w:val="ListParagraph"/>
        <w:numPr>
          <w:ilvl w:val="1"/>
          <w:numId w:val="1"/>
        </w:numPr>
        <w:rPr>
          <w:lang w:eastAsia="en-GB"/>
        </w:rPr>
      </w:pPr>
      <w:r>
        <w:t xml:space="preserve">The approval of the Energy Reduction Route Map in June last year clearly indicates the Commission’s appetite to lead by example and drive further efficiencies across the estate.  This ‘route map’ challenges us to achieve a further 30% energy emissions reduction by 2021 compared to the 2012/13 baseline.  </w:t>
      </w:r>
      <w:r w:rsidR="00951872">
        <w:t>I</w:t>
      </w:r>
      <w:r w:rsidR="0050481F">
        <w:t xml:space="preserve">f we are to </w:t>
      </w:r>
      <w:r w:rsidR="00951872">
        <w:t>achieve this goal</w:t>
      </w:r>
      <w:r w:rsidR="00BB4B7E">
        <w:t xml:space="preserve">, </w:t>
      </w:r>
      <w:r w:rsidR="0050481F">
        <w:t>t</w:t>
      </w:r>
      <w:r w:rsidR="00A0120B">
        <w:t xml:space="preserve">he </w:t>
      </w:r>
      <w:r w:rsidR="00BB4B7E">
        <w:t xml:space="preserve">continued </w:t>
      </w:r>
      <w:r w:rsidR="00A0120B">
        <w:t>improvement of T</w:t>
      </w:r>
      <w:r w:rsidR="00A0120B" w:rsidRPr="00E76171">
        <w:rPr>
          <w:rFonts w:ascii="Arial" w:hAnsi="Arial" w:cs="Arial"/>
        </w:rPr>
        <w:t>ŷ</w:t>
      </w:r>
      <w:r w:rsidR="003149E7">
        <w:t xml:space="preserve"> Hywel’s performance </w:t>
      </w:r>
      <w:r w:rsidR="00A5098B">
        <w:t xml:space="preserve">will </w:t>
      </w:r>
      <w:r>
        <w:t>remain the key priority.</w:t>
      </w:r>
      <w:r w:rsidR="00E76171">
        <w:t xml:space="preserve">  It was identified in the Route Map that </w:t>
      </w:r>
      <w:r w:rsidR="00E76171">
        <w:rPr>
          <w:lang w:eastAsia="en-GB"/>
        </w:rPr>
        <w:t>t</w:t>
      </w:r>
      <w:r w:rsidR="00E76171" w:rsidRPr="00E76171">
        <w:rPr>
          <w:lang w:eastAsia="en-GB"/>
        </w:rPr>
        <w:t>o ensure we comprehensively manage all our main environmental impacts, new targets for wast</w:t>
      </w:r>
      <w:r w:rsidR="00AE10B7">
        <w:rPr>
          <w:lang w:eastAsia="en-GB"/>
        </w:rPr>
        <w:t>e, water and business travel would</w:t>
      </w:r>
      <w:r w:rsidR="00E76171" w:rsidRPr="00E76171">
        <w:rPr>
          <w:lang w:eastAsia="en-GB"/>
        </w:rPr>
        <w:t xml:space="preserve"> be developed to sit alongside the new energy target.  This will provide a suite of targets that can be measured </w:t>
      </w:r>
      <w:r w:rsidR="00E76171" w:rsidRPr="00E76171">
        <w:rPr>
          <w:lang w:eastAsia="en-GB"/>
        </w:rPr>
        <w:lastRenderedPageBreak/>
        <w:t>and monitored consistently on a like for like basis over the same time frame</w:t>
      </w:r>
      <w:r w:rsidR="00062776">
        <w:rPr>
          <w:lang w:eastAsia="en-GB"/>
        </w:rPr>
        <w:t xml:space="preserve"> from April 2015</w:t>
      </w:r>
      <w:r w:rsidR="00E76171" w:rsidRPr="00E76171">
        <w:rPr>
          <w:lang w:eastAsia="en-GB"/>
        </w:rPr>
        <w:t>.  These targets will be provided for the Commission’s consideration in due course.</w:t>
      </w:r>
    </w:p>
    <w:p w14:paraId="4F06D077" w14:textId="02038F56" w:rsidR="00E76171" w:rsidRDefault="00E76171" w:rsidP="00E76171">
      <w:pPr>
        <w:pStyle w:val="AClistparagraph"/>
        <w:numPr>
          <w:ilvl w:val="1"/>
          <w:numId w:val="1"/>
        </w:numPr>
      </w:pPr>
      <w:r>
        <w:t>As we look towards 2021, we have an opportunity to build on our success to date, work even harder to optimise the efficiency of our buildings and embed a truly sustainable work culture.  However</w:t>
      </w:r>
      <w:r w:rsidR="00ED70E5">
        <w:t xml:space="preserve"> this</w:t>
      </w:r>
      <w:r>
        <w:t xml:space="preserve">  will not be easy and </w:t>
      </w:r>
      <w:r w:rsidRPr="00392221">
        <w:t>will require eve</w:t>
      </w:r>
      <w:r>
        <w:t xml:space="preserve">n greater acceptance of change by the stakeholder groups using our estate. Yet, we will not lose sight of the key priority of ensuring we maintain a comfortable working environment for all occupants that </w:t>
      </w:r>
      <w:r w:rsidR="009231C3">
        <w:t xml:space="preserve">supports the business of the Assembly and its Members.  </w:t>
      </w:r>
    </w:p>
    <w:p w14:paraId="43BD9125" w14:textId="704073C7" w:rsidR="004E1FF3" w:rsidRDefault="000C6AEA" w:rsidP="000660BF">
      <w:pPr>
        <w:pStyle w:val="AClistparagraph"/>
        <w:numPr>
          <w:ilvl w:val="1"/>
          <w:numId w:val="1"/>
        </w:numPr>
      </w:pPr>
      <w:r>
        <w:t xml:space="preserve">To ensure the future resilience of our buildings and operations in light </w:t>
      </w:r>
      <w:r w:rsidR="00827C1A">
        <w:t>of</w:t>
      </w:r>
      <w:r w:rsidR="00BB4B7E">
        <w:t xml:space="preserve"> unpredictable weather conditions</w:t>
      </w:r>
      <w:r>
        <w:t xml:space="preserve">, </w:t>
      </w:r>
      <w:r w:rsidR="00A0120B">
        <w:t>rising</w:t>
      </w:r>
      <w:r w:rsidR="00D045A2">
        <w:t xml:space="preserve"> energy costs</w:t>
      </w:r>
      <w:r w:rsidR="00A26BBE">
        <w:t xml:space="preserve"> and potential future supply volatility</w:t>
      </w:r>
      <w:r>
        <w:t>, we will consider all options available to us including the prospect of joining a Cardiff wide district heating scheme</w:t>
      </w:r>
      <w:r w:rsidR="001A5E06">
        <w:t xml:space="preserve"> using energy from waste as the primary fuel</w:t>
      </w:r>
      <w:r>
        <w:t>, renewables and further efficiency gains</w:t>
      </w:r>
      <w:r w:rsidR="00A244B8">
        <w:t xml:space="preserve"> through equipment</w:t>
      </w:r>
      <w:r w:rsidR="001A5E06">
        <w:t xml:space="preserve"> and plant</w:t>
      </w:r>
      <w:r w:rsidR="00A244B8">
        <w:t xml:space="preserve"> </w:t>
      </w:r>
      <w:r w:rsidR="001A5E06">
        <w:t>replacement.</w:t>
      </w:r>
    </w:p>
    <w:p w14:paraId="0AF8E13F" w14:textId="750F2972" w:rsidR="004E1FF3" w:rsidRDefault="004E1FF3" w:rsidP="004E1FF3">
      <w:pPr>
        <w:pStyle w:val="ACsubheading"/>
      </w:pPr>
      <w:r>
        <w:t>External Factors</w:t>
      </w:r>
    </w:p>
    <w:p w14:paraId="536D2F68" w14:textId="067A4457" w:rsidR="00E457D8" w:rsidRPr="00951B0E" w:rsidRDefault="004E1FF3" w:rsidP="00951B0E">
      <w:pPr>
        <w:pStyle w:val="ACsubheading"/>
        <w:numPr>
          <w:ilvl w:val="0"/>
          <w:numId w:val="0"/>
        </w:numPr>
        <w:ind w:left="567"/>
        <w:rPr>
          <w:b w:val="0"/>
        </w:rPr>
      </w:pPr>
      <w:r w:rsidRPr="004E1FF3">
        <w:rPr>
          <w:b w:val="0"/>
        </w:rPr>
        <w:t xml:space="preserve">The </w:t>
      </w:r>
      <w:r w:rsidR="00951B0E">
        <w:rPr>
          <w:b w:val="0"/>
        </w:rPr>
        <w:t xml:space="preserve">published </w:t>
      </w:r>
      <w:r w:rsidRPr="004E1FF3">
        <w:rPr>
          <w:b w:val="0"/>
        </w:rPr>
        <w:t xml:space="preserve">carbon conversion factor for electricity rose steeply in 2014 to its highest </w:t>
      </w:r>
      <w:r>
        <w:rPr>
          <w:b w:val="0"/>
        </w:rPr>
        <w:t xml:space="preserve">value </w:t>
      </w:r>
      <w:r w:rsidRPr="004E1FF3">
        <w:rPr>
          <w:b w:val="0"/>
        </w:rPr>
        <w:t>in 5 years.  This was a result of increased volumes of coal in the fuel mix that contribute</w:t>
      </w:r>
      <w:r w:rsidR="00722659">
        <w:rPr>
          <w:b w:val="0"/>
        </w:rPr>
        <w:t>d</w:t>
      </w:r>
      <w:r w:rsidRPr="004E1FF3">
        <w:rPr>
          <w:b w:val="0"/>
        </w:rPr>
        <w:t xml:space="preserve"> to the calculation of the carbon factor for the year.  This has had a significant detrimental impact on the gains realised through the savings we have made in electricity over the last year</w:t>
      </w:r>
      <w:r>
        <w:rPr>
          <w:b w:val="0"/>
        </w:rPr>
        <w:t xml:space="preserve"> which </w:t>
      </w:r>
      <w:r w:rsidR="00722659">
        <w:rPr>
          <w:b w:val="0"/>
        </w:rPr>
        <w:t xml:space="preserve">in turn </w:t>
      </w:r>
      <w:r>
        <w:rPr>
          <w:b w:val="0"/>
        </w:rPr>
        <w:t>impact</w:t>
      </w:r>
      <w:r w:rsidR="00722659">
        <w:rPr>
          <w:b w:val="0"/>
        </w:rPr>
        <w:t>s</w:t>
      </w:r>
      <w:r>
        <w:rPr>
          <w:b w:val="0"/>
        </w:rPr>
        <w:t xml:space="preserve"> our overall performance</w:t>
      </w:r>
      <w:r w:rsidRPr="004E1FF3">
        <w:rPr>
          <w:b w:val="0"/>
        </w:rPr>
        <w:t>.</w:t>
      </w:r>
    </w:p>
    <w:p w14:paraId="1F309D62" w14:textId="77777777" w:rsidR="00A215FC" w:rsidRPr="00CD35A2" w:rsidRDefault="00A215FC" w:rsidP="00A215FC">
      <w:pPr>
        <w:pStyle w:val="ACsubheading"/>
      </w:pPr>
      <w:r>
        <w:t>Conclusion</w:t>
      </w:r>
    </w:p>
    <w:p w14:paraId="2712888D" w14:textId="7C1B4B12" w:rsidR="00FE1B67" w:rsidRDefault="0023656A" w:rsidP="00FE1B67">
      <w:pPr>
        <w:pStyle w:val="AClistparagraph"/>
        <w:numPr>
          <w:ilvl w:val="1"/>
          <w:numId w:val="1"/>
        </w:numPr>
      </w:pPr>
      <w:r>
        <w:t>Delivery of the strategy has produced significant reductions in carbon emissions, reductions that will be built on in coming years as</w:t>
      </w:r>
      <w:r w:rsidR="00B93587">
        <w:t xml:space="preserve"> the Commission’s Energy Reduction Route Map begins to deliver results.</w:t>
      </w:r>
      <w:r w:rsidR="00AE10B7">
        <w:t xml:space="preserve">  During a time when there has needed to be an even greater emphasis on the efficient use of resources </w:t>
      </w:r>
      <w:r w:rsidR="0089704A">
        <w:t>the investment in carbon</w:t>
      </w:r>
      <w:r w:rsidR="00ED70E5">
        <w:t xml:space="preserve"> reduction has done much to off</w:t>
      </w:r>
      <w:r w:rsidR="001E0476">
        <w:t>set en</w:t>
      </w:r>
      <w:r w:rsidR="00ED70E5">
        <w:t>e</w:t>
      </w:r>
      <w:r w:rsidR="001E0476">
        <w:t>r</w:t>
      </w:r>
      <w:r w:rsidR="0089704A">
        <w:t>gy use and manage costs.</w:t>
      </w:r>
    </w:p>
    <w:p w14:paraId="5FAFFE15" w14:textId="7C682A2C" w:rsidR="00F57113" w:rsidRDefault="00A63F01" w:rsidP="00D1791E">
      <w:pPr>
        <w:pStyle w:val="AClistparagraph"/>
        <w:numPr>
          <w:ilvl w:val="1"/>
          <w:numId w:val="1"/>
        </w:numPr>
      </w:pPr>
      <w:r>
        <w:t xml:space="preserve">The recent </w:t>
      </w:r>
      <w:r w:rsidR="00BE669A">
        <w:t>award and our</w:t>
      </w:r>
      <w:r>
        <w:t xml:space="preserve"> performance achievement</w:t>
      </w:r>
      <w:r w:rsidR="00B4431B">
        <w:t xml:space="preserve"> at the conclusion of the strategy</w:t>
      </w:r>
      <w:r>
        <w:t xml:space="preserve"> </w:t>
      </w:r>
      <w:r w:rsidR="00BE669A">
        <w:t>provides an ideal platform for further showcasing</w:t>
      </w:r>
      <w:r>
        <w:t xml:space="preserve"> the work of the Assembly</w:t>
      </w:r>
      <w:r w:rsidR="00B4431B">
        <w:t xml:space="preserve"> in promoting sustainable development</w:t>
      </w:r>
      <w:r>
        <w:t xml:space="preserve"> more widely and setting an example for others to learn from and follow. </w:t>
      </w:r>
    </w:p>
    <w:p w14:paraId="54875B07" w14:textId="4326C1C3" w:rsidR="00B2673E" w:rsidRDefault="00B2673E" w:rsidP="00EF34A9">
      <w:pPr>
        <w:pStyle w:val="AClistparagraph"/>
        <w:numPr>
          <w:ilvl w:val="0"/>
          <w:numId w:val="0"/>
        </w:numPr>
        <w:sectPr w:rsidR="00B2673E" w:rsidSect="001F25C6">
          <w:headerReference w:type="even" r:id="rId8"/>
          <w:headerReference w:type="default" r:id="rId9"/>
          <w:footerReference w:type="default" r:id="rId10"/>
          <w:headerReference w:type="first" r:id="rId11"/>
          <w:footerReference w:type="first" r:id="rId12"/>
          <w:pgSz w:w="11906" w:h="16838"/>
          <w:pgMar w:top="1440" w:right="1440" w:bottom="1134" w:left="1440" w:header="708" w:footer="708" w:gutter="0"/>
          <w:cols w:space="708"/>
          <w:titlePg/>
          <w:docGrid w:linePitch="360"/>
        </w:sectPr>
      </w:pPr>
    </w:p>
    <w:p w14:paraId="67BC050A" w14:textId="77777777" w:rsidR="00E8309B" w:rsidRDefault="00FC2D8C" w:rsidP="00E8309B">
      <w:pPr>
        <w:jc w:val="right"/>
        <w:rPr>
          <w:b/>
        </w:rPr>
      </w:pPr>
      <w:r>
        <w:rPr>
          <w:b/>
        </w:rPr>
        <w:lastRenderedPageBreak/>
        <w:t>Table</w:t>
      </w:r>
      <w:r w:rsidR="00E8309B">
        <w:rPr>
          <w:b/>
        </w:rPr>
        <w:t xml:space="preserve"> A</w:t>
      </w:r>
    </w:p>
    <w:p w14:paraId="331A473F" w14:textId="76CDADC8" w:rsidR="0060722D" w:rsidRPr="00027151" w:rsidRDefault="00F019DB" w:rsidP="00E8309B">
      <w:pPr>
        <w:rPr>
          <w:b/>
        </w:rPr>
      </w:pPr>
      <w:r>
        <w:t xml:space="preserve"> Actions </w:t>
      </w:r>
      <w:r w:rsidR="00013AAB">
        <w:t>2013/14</w:t>
      </w:r>
    </w:p>
    <w:tbl>
      <w:tblPr>
        <w:tblStyle w:val="TableGrid"/>
        <w:tblW w:w="0" w:type="auto"/>
        <w:tblLook w:val="04A0" w:firstRow="1" w:lastRow="0" w:firstColumn="1" w:lastColumn="0" w:noHBand="0" w:noVBand="1"/>
      </w:tblPr>
      <w:tblGrid>
        <w:gridCol w:w="4164"/>
        <w:gridCol w:w="5078"/>
      </w:tblGrid>
      <w:tr w:rsidR="00AB12AD" w:rsidRPr="005E026D" w14:paraId="6711E5D3" w14:textId="77777777" w:rsidTr="00D6214F">
        <w:trPr>
          <w:cnfStyle w:val="100000000000" w:firstRow="1" w:lastRow="0" w:firstColumn="0" w:lastColumn="0" w:oddVBand="0" w:evenVBand="0" w:oddHBand="0" w:evenHBand="0" w:firstRowFirstColumn="0" w:firstRowLastColumn="0" w:lastRowFirstColumn="0" w:lastRowLastColumn="0"/>
        </w:trPr>
        <w:tc>
          <w:tcPr>
            <w:tcW w:w="4164" w:type="dxa"/>
          </w:tcPr>
          <w:p w14:paraId="122C03F9" w14:textId="77777777" w:rsidR="0060722D" w:rsidRPr="005E026D" w:rsidRDefault="0060722D" w:rsidP="0060722D">
            <w:pPr>
              <w:spacing w:after="240"/>
              <w:jc w:val="center"/>
              <w:rPr>
                <w:b w:val="0"/>
              </w:rPr>
            </w:pPr>
            <w:r w:rsidRPr="005E026D">
              <w:t>Deta</w:t>
            </w:r>
            <w:r>
              <w:t>ils of selected actions</w:t>
            </w:r>
          </w:p>
        </w:tc>
        <w:tc>
          <w:tcPr>
            <w:tcW w:w="5078" w:type="dxa"/>
          </w:tcPr>
          <w:p w14:paraId="3DA110E5" w14:textId="77777777" w:rsidR="0060722D" w:rsidRPr="005E026D" w:rsidRDefault="00494DC0" w:rsidP="0060722D">
            <w:pPr>
              <w:jc w:val="center"/>
            </w:pPr>
            <w:r>
              <w:t xml:space="preserve">Progress </w:t>
            </w:r>
          </w:p>
        </w:tc>
      </w:tr>
      <w:tr w:rsidR="00AB12AD" w:rsidRPr="005E026D" w14:paraId="07E0B961" w14:textId="77777777" w:rsidTr="00D6214F">
        <w:tc>
          <w:tcPr>
            <w:tcW w:w="4164" w:type="dxa"/>
          </w:tcPr>
          <w:p w14:paraId="34AAB82E" w14:textId="77777777" w:rsidR="0060722D" w:rsidRDefault="0060722D" w:rsidP="0060722D">
            <w:pPr>
              <w:spacing w:after="240"/>
            </w:pPr>
            <w:r>
              <w:t>Continue roll out of PIRs across T</w:t>
            </w:r>
            <w:r>
              <w:rPr>
                <w:rFonts w:ascii="Arial" w:hAnsi="Arial" w:cs="Arial"/>
              </w:rPr>
              <w:t>ŷ</w:t>
            </w:r>
            <w:r>
              <w:t xml:space="preserve"> Hywel</w:t>
            </w:r>
            <w:r w:rsidR="00A1263B">
              <w:t>.</w:t>
            </w:r>
          </w:p>
        </w:tc>
        <w:tc>
          <w:tcPr>
            <w:tcW w:w="5078" w:type="dxa"/>
          </w:tcPr>
          <w:p w14:paraId="14687F1A" w14:textId="1FDC5C05" w:rsidR="0060722D" w:rsidRDefault="0050024E" w:rsidP="00C55F45">
            <w:r>
              <w:t>The majority of the lights in T</w:t>
            </w:r>
            <w:r>
              <w:rPr>
                <w:rFonts w:ascii="Arial" w:hAnsi="Arial" w:cs="Arial"/>
              </w:rPr>
              <w:t>ŷ</w:t>
            </w:r>
            <w:r w:rsidR="00AB12AD" w:rsidRPr="00AB12AD">
              <w:t xml:space="preserve"> Hy</w:t>
            </w:r>
            <w:r w:rsidR="00A401D6">
              <w:t>wel have now been changed to motion sensors</w:t>
            </w:r>
            <w:r w:rsidR="00AB12AD" w:rsidRPr="00AB12AD">
              <w:t xml:space="preserve">.  There are a few smaller meeting rooms/offices on the ground floor corridor that are left to change.  Funding has been given by the Investment </w:t>
            </w:r>
            <w:r w:rsidR="003E53CE">
              <w:t xml:space="preserve">and Resourcing </w:t>
            </w:r>
            <w:r w:rsidR="00AB12AD" w:rsidRPr="00AB12AD">
              <w:t>Board for this and we intend to</w:t>
            </w:r>
            <w:r w:rsidR="00A401D6">
              <w:t xml:space="preserve"> carry out these in the next few months</w:t>
            </w:r>
            <w:r w:rsidR="00AB12AD" w:rsidRPr="00AB12AD">
              <w:t>.</w:t>
            </w:r>
          </w:p>
        </w:tc>
      </w:tr>
      <w:tr w:rsidR="00AB12AD" w:rsidRPr="005E026D" w14:paraId="13C2A052" w14:textId="77777777" w:rsidTr="00D6214F">
        <w:tc>
          <w:tcPr>
            <w:tcW w:w="4164" w:type="dxa"/>
          </w:tcPr>
          <w:p w14:paraId="533462CD" w14:textId="77777777" w:rsidR="0060722D" w:rsidRDefault="00A1263B" w:rsidP="0060722D">
            <w:pPr>
              <w:spacing w:after="240"/>
            </w:pPr>
            <w:r>
              <w:t>Develop a more robust and inclusive</w:t>
            </w:r>
            <w:r w:rsidR="0060722D">
              <w:t xml:space="preserve"> approach to energy management and carbon reduction</w:t>
            </w:r>
            <w:r>
              <w:t>.</w:t>
            </w:r>
          </w:p>
        </w:tc>
        <w:tc>
          <w:tcPr>
            <w:tcW w:w="5078" w:type="dxa"/>
          </w:tcPr>
          <w:p w14:paraId="1BBF44E4" w14:textId="77777777" w:rsidR="0060722D" w:rsidRDefault="0060722D" w:rsidP="00603ED6">
            <w:r>
              <w:t xml:space="preserve">Through </w:t>
            </w:r>
            <w:r w:rsidR="00603ED6">
              <w:t>the investment of dedicated energy monitoring software, we are developing a clear picture of energy performance across the estate together with a strategy for energy management that will assist with identifying key areas for improvement.</w:t>
            </w:r>
          </w:p>
        </w:tc>
      </w:tr>
      <w:tr w:rsidR="00AB12AD" w:rsidRPr="005E026D" w14:paraId="624F9D0A" w14:textId="77777777" w:rsidTr="00D6214F">
        <w:tc>
          <w:tcPr>
            <w:tcW w:w="4164" w:type="dxa"/>
          </w:tcPr>
          <w:p w14:paraId="2C8D13D3" w14:textId="77777777" w:rsidR="0060722D" w:rsidRDefault="0060722D" w:rsidP="0060722D">
            <w:pPr>
              <w:spacing w:after="240"/>
            </w:pPr>
            <w:r>
              <w:t>Assess th</w:t>
            </w:r>
            <w:r w:rsidR="00A1263B">
              <w:t xml:space="preserve">e feasibility of assessing the </w:t>
            </w:r>
            <w:r>
              <w:t>base load of Senedd IT and electronic equipment to identify opportunities for energy reduction</w:t>
            </w:r>
            <w:r w:rsidR="00A1263B">
              <w:t>.</w:t>
            </w:r>
          </w:p>
        </w:tc>
        <w:tc>
          <w:tcPr>
            <w:tcW w:w="5078" w:type="dxa"/>
          </w:tcPr>
          <w:p w14:paraId="3B3E5BAC" w14:textId="77777777" w:rsidR="0060722D" w:rsidRPr="00D6214F" w:rsidRDefault="004268E9" w:rsidP="00EB1BE9">
            <w:pPr>
              <w:rPr>
                <w:color w:val="C00000"/>
              </w:rPr>
            </w:pPr>
            <w:r w:rsidRPr="00D6214F">
              <w:t xml:space="preserve">We have undertaken a base load assessment of lighting systems within the Senedd </w:t>
            </w:r>
            <w:r w:rsidR="00EB1BE9" w:rsidRPr="00D6214F">
              <w:t>and are exploring the feasibility of</w:t>
            </w:r>
            <w:r w:rsidRPr="00D6214F">
              <w:t xml:space="preserve"> </w:t>
            </w:r>
            <w:r w:rsidR="00EB1BE9" w:rsidRPr="00D6214F">
              <w:t xml:space="preserve">replacing high level lights with </w:t>
            </w:r>
            <w:r w:rsidRPr="00D6214F">
              <w:t>LED replacements delivering significant efficiency savings, the same quality of light and short paybacks.</w:t>
            </w:r>
          </w:p>
        </w:tc>
      </w:tr>
      <w:tr w:rsidR="00AB12AD" w:rsidRPr="005E026D" w14:paraId="6E6671D0" w14:textId="77777777" w:rsidTr="00D6214F">
        <w:tc>
          <w:tcPr>
            <w:tcW w:w="4164" w:type="dxa"/>
          </w:tcPr>
          <w:p w14:paraId="7D7F906C" w14:textId="77777777" w:rsidR="0060722D" w:rsidRPr="005E026D" w:rsidRDefault="0060722D" w:rsidP="0060722D">
            <w:pPr>
              <w:spacing w:after="240"/>
            </w:pPr>
            <w:r>
              <w:t>Improve occupant</w:t>
            </w:r>
            <w:r w:rsidR="00A1263B">
              <w:t>’s sustainability</w:t>
            </w:r>
            <w:r>
              <w:t xml:space="preserve"> behaviour through targeted environmental communications</w:t>
            </w:r>
            <w:r w:rsidR="00A1263B">
              <w:t>.</w:t>
            </w:r>
          </w:p>
        </w:tc>
        <w:tc>
          <w:tcPr>
            <w:tcW w:w="5078" w:type="dxa"/>
          </w:tcPr>
          <w:p w14:paraId="21D473AD" w14:textId="0D43F548" w:rsidR="0060722D" w:rsidRDefault="00AB12AD" w:rsidP="00AB12AD">
            <w:r>
              <w:t>A suite of measures are being developed that ca</w:t>
            </w:r>
            <w:r w:rsidR="00C55F45">
              <w:t>n target our wide stakeholder base</w:t>
            </w:r>
            <w:r>
              <w:t xml:space="preserve"> and these include s</w:t>
            </w:r>
            <w:r w:rsidR="00013AAB">
              <w:t xml:space="preserve">ustainability dashboards, green advisors, </w:t>
            </w:r>
            <w:r w:rsidR="00C55F45">
              <w:t xml:space="preserve">a </w:t>
            </w:r>
            <w:r w:rsidR="00013AAB">
              <w:t>cycle group</w:t>
            </w:r>
            <w:r>
              <w:t xml:space="preserve"> and periodic ‘factoids’ about sustainability</w:t>
            </w:r>
            <w:r w:rsidR="00013AAB">
              <w:t>.</w:t>
            </w:r>
          </w:p>
        </w:tc>
      </w:tr>
      <w:tr w:rsidR="00AB12AD" w:rsidRPr="005E026D" w14:paraId="5A10B46C" w14:textId="77777777" w:rsidTr="00D6214F">
        <w:tc>
          <w:tcPr>
            <w:tcW w:w="4164" w:type="dxa"/>
          </w:tcPr>
          <w:p w14:paraId="6B291AB7" w14:textId="77777777" w:rsidR="0060722D" w:rsidRDefault="00820A71" w:rsidP="0060722D">
            <w:pPr>
              <w:spacing w:after="240"/>
            </w:pPr>
            <w:r>
              <w:t>Undertake further trials with solar</w:t>
            </w:r>
            <w:r w:rsidR="0060722D">
              <w:t xml:space="preserve"> film on areas with high solar gain.</w:t>
            </w:r>
          </w:p>
        </w:tc>
        <w:tc>
          <w:tcPr>
            <w:tcW w:w="5078" w:type="dxa"/>
          </w:tcPr>
          <w:p w14:paraId="22F2DCE3" w14:textId="02BA1C67" w:rsidR="0060722D" w:rsidRDefault="00AB12AD" w:rsidP="00820A71">
            <w:r w:rsidRPr="00AB12AD">
              <w:t>Following the successful trial of the solar film, this has now been rolled out to all wind</w:t>
            </w:r>
            <w:r w:rsidR="0050024E">
              <w:t>ows effected by solar gain in T</w:t>
            </w:r>
            <w:r w:rsidR="0050024E">
              <w:rPr>
                <w:rFonts w:ascii="Arial" w:hAnsi="Arial" w:cs="Arial"/>
              </w:rPr>
              <w:t>ŷ</w:t>
            </w:r>
            <w:r w:rsidRPr="00AB12AD">
              <w:t xml:space="preserve"> Hywel following funding </w:t>
            </w:r>
            <w:r>
              <w:t xml:space="preserve">approval from </w:t>
            </w:r>
            <w:r>
              <w:lastRenderedPageBreak/>
              <w:t xml:space="preserve">Investment </w:t>
            </w:r>
            <w:r w:rsidR="003E53CE">
              <w:t xml:space="preserve">and Resourcing </w:t>
            </w:r>
            <w:r>
              <w:t>Board.</w:t>
            </w:r>
          </w:p>
        </w:tc>
      </w:tr>
      <w:tr w:rsidR="00AB12AD" w:rsidRPr="005E026D" w14:paraId="59CCA3EA" w14:textId="77777777" w:rsidTr="00D6214F">
        <w:tc>
          <w:tcPr>
            <w:tcW w:w="4164" w:type="dxa"/>
          </w:tcPr>
          <w:p w14:paraId="4DE689C5" w14:textId="77777777" w:rsidR="0060722D" w:rsidRPr="005E026D" w:rsidRDefault="0060722D" w:rsidP="0060722D">
            <w:pPr>
              <w:spacing w:after="240"/>
            </w:pPr>
            <w:r>
              <w:lastRenderedPageBreak/>
              <w:t>Consider options to upgrade and/or replace the building management system as part of the new FM contract.</w:t>
            </w:r>
          </w:p>
        </w:tc>
        <w:tc>
          <w:tcPr>
            <w:tcW w:w="5078" w:type="dxa"/>
          </w:tcPr>
          <w:p w14:paraId="2040320B" w14:textId="5BD1BC01" w:rsidR="0060722D" w:rsidRDefault="00AB12AD" w:rsidP="00AB12AD">
            <w:r>
              <w:t xml:space="preserve">The BMS has been tendered and awarded with a targeted installation completion date of April 2015. </w:t>
            </w:r>
          </w:p>
        </w:tc>
      </w:tr>
      <w:tr w:rsidR="00AB12AD" w:rsidRPr="005E026D" w14:paraId="7AB0FCC2" w14:textId="77777777" w:rsidTr="00D6214F">
        <w:tc>
          <w:tcPr>
            <w:tcW w:w="4164" w:type="dxa"/>
          </w:tcPr>
          <w:p w14:paraId="1AB932A2" w14:textId="77777777" w:rsidR="0060722D" w:rsidRDefault="0060722D" w:rsidP="0060722D">
            <w:pPr>
              <w:spacing w:after="240"/>
            </w:pPr>
            <w:r>
              <w:t>Investigate feasibility for installing solar PV panels to provide renewable electricity.</w:t>
            </w:r>
          </w:p>
        </w:tc>
        <w:tc>
          <w:tcPr>
            <w:tcW w:w="5078" w:type="dxa"/>
          </w:tcPr>
          <w:p w14:paraId="4DD83689" w14:textId="1A751021" w:rsidR="0060722D" w:rsidRDefault="0060722D" w:rsidP="00013AAB">
            <w:r>
              <w:t xml:space="preserve">To </w:t>
            </w:r>
            <w:r w:rsidR="003169A1">
              <w:t>be considered as part of the</w:t>
            </w:r>
            <w:r>
              <w:t xml:space="preserve"> </w:t>
            </w:r>
            <w:r w:rsidR="00013AAB">
              <w:t>new Energy Reduction Routemap.</w:t>
            </w:r>
          </w:p>
        </w:tc>
      </w:tr>
    </w:tbl>
    <w:p w14:paraId="48B42676" w14:textId="77777777" w:rsidR="008D5A11" w:rsidRDefault="008D5A11" w:rsidP="00684098">
      <w:pPr>
        <w:rPr>
          <w:b/>
        </w:rPr>
      </w:pPr>
    </w:p>
    <w:p w14:paraId="423452F6" w14:textId="77777777" w:rsidR="00A9038D" w:rsidRPr="00A9038D" w:rsidRDefault="00FC2D8C" w:rsidP="00A9038D">
      <w:pPr>
        <w:jc w:val="right"/>
        <w:rPr>
          <w:b/>
        </w:rPr>
      </w:pPr>
      <w:r>
        <w:rPr>
          <w:b/>
        </w:rPr>
        <w:t>Table</w:t>
      </w:r>
      <w:r w:rsidR="00A9038D" w:rsidRPr="00A9038D">
        <w:rPr>
          <w:b/>
        </w:rPr>
        <w:t xml:space="preserve"> </w:t>
      </w:r>
      <w:r w:rsidR="0060722D">
        <w:rPr>
          <w:b/>
        </w:rPr>
        <w:t>B</w:t>
      </w:r>
    </w:p>
    <w:p w14:paraId="6C5F75E4" w14:textId="1C713A11" w:rsidR="00A9038D" w:rsidRDefault="00506873" w:rsidP="00027151">
      <w:r>
        <w:t>Key performance achievements</w:t>
      </w:r>
      <w:r w:rsidR="00770A4F">
        <w:t xml:space="preserve"> over the life of the strategy 2009-2014</w:t>
      </w:r>
    </w:p>
    <w:tbl>
      <w:tblPr>
        <w:tblStyle w:val="TableGrid"/>
        <w:tblW w:w="0" w:type="auto"/>
        <w:tblLook w:val="04A0" w:firstRow="1" w:lastRow="0" w:firstColumn="1" w:lastColumn="0" w:noHBand="0" w:noVBand="1"/>
      </w:tblPr>
      <w:tblGrid>
        <w:gridCol w:w="9242"/>
      </w:tblGrid>
      <w:tr w:rsidR="00100127" w14:paraId="5337AB12" w14:textId="77777777" w:rsidTr="00100127">
        <w:trPr>
          <w:cnfStyle w:val="100000000000" w:firstRow="1" w:lastRow="0" w:firstColumn="0" w:lastColumn="0" w:oddVBand="0" w:evenVBand="0" w:oddHBand="0" w:evenHBand="0" w:firstRowFirstColumn="0" w:firstRowLastColumn="0" w:lastRowFirstColumn="0" w:lastRowLastColumn="0"/>
        </w:trPr>
        <w:tc>
          <w:tcPr>
            <w:tcW w:w="9242" w:type="dxa"/>
          </w:tcPr>
          <w:p w14:paraId="253A9375" w14:textId="7974A493" w:rsidR="00100127" w:rsidRDefault="00B1389F" w:rsidP="00B1389F">
            <w:pPr>
              <w:jc w:val="center"/>
            </w:pPr>
            <w:r>
              <w:t>Details of key actions</w:t>
            </w:r>
          </w:p>
        </w:tc>
      </w:tr>
      <w:tr w:rsidR="00B44DE4" w14:paraId="5B2932CB" w14:textId="77777777" w:rsidTr="00100127">
        <w:tc>
          <w:tcPr>
            <w:tcW w:w="9242" w:type="dxa"/>
          </w:tcPr>
          <w:p w14:paraId="0D03859B" w14:textId="568E8B62" w:rsidR="00B44DE4" w:rsidRPr="00B44DE4" w:rsidRDefault="00B44DE4" w:rsidP="00100127">
            <w:pPr>
              <w:rPr>
                <w:b/>
                <w:i/>
              </w:rPr>
            </w:pPr>
            <w:r w:rsidRPr="00B44DE4">
              <w:rPr>
                <w:b/>
                <w:i/>
              </w:rPr>
              <w:t>Energy</w:t>
            </w:r>
          </w:p>
        </w:tc>
      </w:tr>
      <w:tr w:rsidR="00100127" w14:paraId="45D07F24" w14:textId="77777777" w:rsidTr="00100127">
        <w:tc>
          <w:tcPr>
            <w:tcW w:w="9242" w:type="dxa"/>
          </w:tcPr>
          <w:p w14:paraId="19AABAE4" w14:textId="58919113" w:rsidR="00100127" w:rsidRPr="00100127" w:rsidRDefault="00506873" w:rsidP="00100127">
            <w:r>
              <w:t>Comprehensive rollout of motion sensors on over 3000 lights across T</w:t>
            </w:r>
            <w:r w:rsidR="00E764C8">
              <w:rPr>
                <w:rFonts w:ascii="Arial" w:hAnsi="Arial" w:cs="Arial"/>
              </w:rPr>
              <w:t>ŷ</w:t>
            </w:r>
            <w:r>
              <w:t xml:space="preserve"> Hywel.</w:t>
            </w:r>
          </w:p>
        </w:tc>
      </w:tr>
      <w:tr w:rsidR="00100127" w14:paraId="240E3678" w14:textId="77777777" w:rsidTr="00100127">
        <w:tc>
          <w:tcPr>
            <w:tcW w:w="9242" w:type="dxa"/>
          </w:tcPr>
          <w:p w14:paraId="6AAA5866" w14:textId="41172252" w:rsidR="00100127" w:rsidRDefault="00506873" w:rsidP="00433214">
            <w:r>
              <w:t xml:space="preserve">Installation of variable speed drives on </w:t>
            </w:r>
            <w:r w:rsidR="00453EBE">
              <w:t xml:space="preserve">boiler </w:t>
            </w:r>
            <w:r>
              <w:t>pumps</w:t>
            </w:r>
            <w:r w:rsidR="00991323">
              <w:t xml:space="preserve"> reducing fan speeds</w:t>
            </w:r>
            <w:r w:rsidR="00453EBE">
              <w:t xml:space="preserve"> by 75%.</w:t>
            </w:r>
          </w:p>
        </w:tc>
      </w:tr>
      <w:tr w:rsidR="00100127" w14:paraId="1DD5F371" w14:textId="77777777" w:rsidTr="00100127">
        <w:tc>
          <w:tcPr>
            <w:tcW w:w="9242" w:type="dxa"/>
          </w:tcPr>
          <w:p w14:paraId="504C6545" w14:textId="3DDD670B" w:rsidR="00100127" w:rsidRDefault="00506873" w:rsidP="007654F4">
            <w:r>
              <w:t>Replacement of perimeter and parking lighting with LEDs</w:t>
            </w:r>
            <w:r w:rsidR="00E764C8">
              <w:t>.</w:t>
            </w:r>
          </w:p>
        </w:tc>
      </w:tr>
      <w:tr w:rsidR="00F0461D" w14:paraId="0AFFFE73" w14:textId="77777777" w:rsidTr="00100127">
        <w:tc>
          <w:tcPr>
            <w:tcW w:w="9242" w:type="dxa"/>
          </w:tcPr>
          <w:p w14:paraId="33E8F4B1" w14:textId="12EA3419" w:rsidR="00F0461D" w:rsidRDefault="00506873" w:rsidP="00853562">
            <w:r>
              <w:t xml:space="preserve">The replacement of inefficient radiator valves with new </w:t>
            </w:r>
            <w:r w:rsidR="00B44DE4">
              <w:t xml:space="preserve">centrally controlled </w:t>
            </w:r>
            <w:r>
              <w:t>alternatives</w:t>
            </w:r>
            <w:r w:rsidR="00E764C8">
              <w:t>.</w:t>
            </w:r>
          </w:p>
        </w:tc>
      </w:tr>
      <w:tr w:rsidR="00506873" w14:paraId="3B19FC42" w14:textId="77777777" w:rsidTr="00100127">
        <w:tc>
          <w:tcPr>
            <w:tcW w:w="9242" w:type="dxa"/>
          </w:tcPr>
          <w:p w14:paraId="45DC9A58" w14:textId="460317DA" w:rsidR="00506873" w:rsidRDefault="00506873" w:rsidP="00853562">
            <w:r>
              <w:t>Replacement of existing PCs with 750 Energy Star rated PCs that automatically hibernate after 15 minutes of inactivity</w:t>
            </w:r>
          </w:p>
        </w:tc>
      </w:tr>
      <w:tr w:rsidR="00506873" w14:paraId="1DCFBFF0" w14:textId="77777777" w:rsidTr="00100127">
        <w:tc>
          <w:tcPr>
            <w:tcW w:w="9242" w:type="dxa"/>
          </w:tcPr>
          <w:p w14:paraId="6C3A90BE" w14:textId="63CD6546" w:rsidR="00506873" w:rsidRDefault="00506873" w:rsidP="00853562">
            <w:r>
              <w:t>Building management system optimisation and controls</w:t>
            </w:r>
          </w:p>
        </w:tc>
      </w:tr>
      <w:tr w:rsidR="00506873" w14:paraId="7F5C8E43" w14:textId="77777777" w:rsidTr="00100127">
        <w:tc>
          <w:tcPr>
            <w:tcW w:w="9242" w:type="dxa"/>
          </w:tcPr>
          <w:p w14:paraId="74DDE30E" w14:textId="3283940A" w:rsidR="00506873" w:rsidRDefault="00506873" w:rsidP="00853562">
            <w:r>
              <w:t>Modification to chiller operations to run on demand rather than time schedules</w:t>
            </w:r>
          </w:p>
        </w:tc>
      </w:tr>
      <w:tr w:rsidR="00506873" w14:paraId="2FAA4771" w14:textId="77777777" w:rsidTr="00100127">
        <w:tc>
          <w:tcPr>
            <w:tcW w:w="9242" w:type="dxa"/>
          </w:tcPr>
          <w:p w14:paraId="23D14E01" w14:textId="7932E491" w:rsidR="00506873" w:rsidRDefault="00506873" w:rsidP="00853562">
            <w:r>
              <w:t>Daylight linked lighting in areas of T</w:t>
            </w:r>
            <w:r w:rsidR="00E764C8">
              <w:rPr>
                <w:rFonts w:ascii="Arial" w:hAnsi="Arial" w:cs="Arial"/>
              </w:rPr>
              <w:t>ŷ</w:t>
            </w:r>
            <w:r>
              <w:t xml:space="preserve"> Hywel that receive sufficient natural light to light the space</w:t>
            </w:r>
          </w:p>
        </w:tc>
      </w:tr>
      <w:tr w:rsidR="00093D63" w14:paraId="1FDAA99B" w14:textId="77777777" w:rsidTr="00100127">
        <w:tc>
          <w:tcPr>
            <w:tcW w:w="9242" w:type="dxa"/>
          </w:tcPr>
          <w:p w14:paraId="3E961CC6" w14:textId="74B42ADD" w:rsidR="00093D63" w:rsidRDefault="00093D63" w:rsidP="00853562">
            <w:r>
              <w:t>Installation of high performance solar film on windows in T</w:t>
            </w:r>
            <w:r w:rsidR="00E764C8">
              <w:rPr>
                <w:rFonts w:ascii="Arial" w:hAnsi="Arial" w:cs="Arial"/>
              </w:rPr>
              <w:t>ŷ</w:t>
            </w:r>
            <w:r>
              <w:t xml:space="preserve"> Hywel subject to excessive glare and solar heating.</w:t>
            </w:r>
          </w:p>
        </w:tc>
      </w:tr>
      <w:tr w:rsidR="00506873" w14:paraId="2C1EDC53" w14:textId="77777777" w:rsidTr="00100127">
        <w:tc>
          <w:tcPr>
            <w:tcW w:w="9242" w:type="dxa"/>
          </w:tcPr>
          <w:p w14:paraId="01BF8A07" w14:textId="73015D15" w:rsidR="00506873" w:rsidRDefault="00506873" w:rsidP="00853562">
            <w:r>
              <w:t>Install</w:t>
            </w:r>
            <w:r w:rsidR="00B44DE4">
              <w:t>a</w:t>
            </w:r>
            <w:r>
              <w:t xml:space="preserve">tion of four buffer vessels in the Senedd biomass boiler to improve </w:t>
            </w:r>
            <w:r>
              <w:lastRenderedPageBreak/>
              <w:t>efficiency of operation and minimise the need to use natural gas.</w:t>
            </w:r>
          </w:p>
        </w:tc>
      </w:tr>
      <w:tr w:rsidR="00B44DE4" w14:paraId="57271B6A" w14:textId="77777777" w:rsidTr="00100127">
        <w:tc>
          <w:tcPr>
            <w:tcW w:w="9242" w:type="dxa"/>
          </w:tcPr>
          <w:p w14:paraId="494E2D27" w14:textId="4BA0A631" w:rsidR="00B44DE4" w:rsidRDefault="00B44DE4" w:rsidP="00B44DE4">
            <w:r>
              <w:lastRenderedPageBreak/>
              <w:t>Night flushing of T</w:t>
            </w:r>
            <w:r w:rsidR="00E764C8">
              <w:rPr>
                <w:rFonts w:ascii="Arial" w:hAnsi="Arial" w:cs="Arial"/>
              </w:rPr>
              <w:t>ŷ</w:t>
            </w:r>
            <w:r>
              <w:t xml:space="preserve"> Hywel in the summer to cool the building reducing the demand for air conditioning in the daytime.</w:t>
            </w:r>
          </w:p>
        </w:tc>
      </w:tr>
      <w:tr w:rsidR="00B44DE4" w14:paraId="2EA9514D" w14:textId="77777777" w:rsidTr="00100127">
        <w:tc>
          <w:tcPr>
            <w:tcW w:w="9242" w:type="dxa"/>
          </w:tcPr>
          <w:p w14:paraId="4455E7C5" w14:textId="4171449B" w:rsidR="00B44DE4" w:rsidRDefault="00B44DE4" w:rsidP="00B44DE4">
            <w:r>
              <w:t>Installation of a comprehensive sub-metering network enabling us to proactively identify and manage energy ‘hot spots’ across the estate.</w:t>
            </w:r>
          </w:p>
        </w:tc>
      </w:tr>
      <w:tr w:rsidR="00B44DE4" w14:paraId="7EAFE572" w14:textId="77777777" w:rsidTr="00100127">
        <w:tc>
          <w:tcPr>
            <w:tcW w:w="9242" w:type="dxa"/>
          </w:tcPr>
          <w:p w14:paraId="615E6E07" w14:textId="268A3240" w:rsidR="00B44DE4" w:rsidRDefault="00B44DE4" w:rsidP="00B44DE4">
            <w:r>
              <w:t>Replacement of o</w:t>
            </w:r>
            <w:r w:rsidRPr="00B44DE4">
              <w:t xml:space="preserve">bsolete R22 refrigerant gas </w:t>
            </w:r>
            <w:r>
              <w:t xml:space="preserve">equipment </w:t>
            </w:r>
            <w:r w:rsidRPr="00B44DE4">
              <w:t>with new more efficient units</w:t>
            </w:r>
            <w:r>
              <w:t xml:space="preserve"> (approximately 50% efficiency gains).</w:t>
            </w:r>
          </w:p>
        </w:tc>
      </w:tr>
      <w:tr w:rsidR="00253704" w14:paraId="31491F66" w14:textId="77777777" w:rsidTr="00100127">
        <w:tc>
          <w:tcPr>
            <w:tcW w:w="9242" w:type="dxa"/>
          </w:tcPr>
          <w:p w14:paraId="078C6D48" w14:textId="413B1256" w:rsidR="00253704" w:rsidRDefault="00253704" w:rsidP="00B44DE4">
            <w:r>
              <w:t>Opti</w:t>
            </w:r>
            <w:r w:rsidR="008B32F9">
              <w:t>misation of heating systems using</w:t>
            </w:r>
            <w:r>
              <w:t xml:space="preserve"> dedicated set points in all areas and switching off unnecessary radiators in transition areas.</w:t>
            </w:r>
          </w:p>
        </w:tc>
      </w:tr>
      <w:tr w:rsidR="00B44DE4" w14:paraId="0EA7CF4E" w14:textId="77777777" w:rsidTr="00100127">
        <w:tc>
          <w:tcPr>
            <w:tcW w:w="9242" w:type="dxa"/>
          </w:tcPr>
          <w:p w14:paraId="5C85A8C1" w14:textId="46ED22B0" w:rsidR="00B44DE4" w:rsidRDefault="00B44DE4" w:rsidP="00B44DE4">
            <w:r>
              <w:t>Refurbishment of the T</w:t>
            </w:r>
            <w:r w:rsidR="00E764C8">
              <w:rPr>
                <w:rFonts w:ascii="Arial" w:hAnsi="Arial" w:cs="Arial"/>
              </w:rPr>
              <w:t>ŷ</w:t>
            </w:r>
            <w:r>
              <w:t xml:space="preserve"> Hywel entrance to improve occupant comfort and reduce the need for excessive heating as a result of draughts.</w:t>
            </w:r>
          </w:p>
        </w:tc>
      </w:tr>
      <w:tr w:rsidR="00B44DE4" w14:paraId="25F6859E" w14:textId="77777777" w:rsidTr="00100127">
        <w:tc>
          <w:tcPr>
            <w:tcW w:w="9242" w:type="dxa"/>
          </w:tcPr>
          <w:p w14:paraId="0861AB55" w14:textId="55665D07" w:rsidR="00B44DE4" w:rsidRDefault="00B44DE4" w:rsidP="00206D8F">
            <w:r>
              <w:t xml:space="preserve">Removal of </w:t>
            </w:r>
            <w:r w:rsidR="00206D8F">
              <w:t>redundant</w:t>
            </w:r>
            <w:r>
              <w:t xml:space="preserve"> NHS server room and reconfiguration into office accommodation reducing energy loads.</w:t>
            </w:r>
          </w:p>
        </w:tc>
      </w:tr>
      <w:tr w:rsidR="000E6652" w14:paraId="3551AF75" w14:textId="77777777" w:rsidTr="00100127">
        <w:tc>
          <w:tcPr>
            <w:tcW w:w="9242" w:type="dxa"/>
          </w:tcPr>
          <w:p w14:paraId="1C52F36F" w14:textId="1258A204" w:rsidR="000E6652" w:rsidRDefault="000E6652" w:rsidP="00206D8F">
            <w:r w:rsidRPr="000E6652">
              <w:t>Change</w:t>
            </w:r>
            <w:r w:rsidR="00E764C8">
              <w:t>d</w:t>
            </w:r>
            <w:r w:rsidRPr="000E6652">
              <w:t xml:space="preserve"> time schedules on air handling units in </w:t>
            </w:r>
            <w:r>
              <w:t xml:space="preserve">the </w:t>
            </w:r>
            <w:r w:rsidRPr="000E6652">
              <w:t>Senedd to reduce elect</w:t>
            </w:r>
            <w:r>
              <w:t>ricity consumption resulting in immediate savings.</w:t>
            </w:r>
          </w:p>
        </w:tc>
      </w:tr>
      <w:tr w:rsidR="00B44DE4" w14:paraId="5F81F532" w14:textId="77777777" w:rsidTr="00100127">
        <w:tc>
          <w:tcPr>
            <w:tcW w:w="9242" w:type="dxa"/>
          </w:tcPr>
          <w:p w14:paraId="2284E640" w14:textId="64BA010E" w:rsidR="00B44DE4" w:rsidRDefault="00BD7F1B" w:rsidP="00B44DE4">
            <w:r>
              <w:t>Installation of a glycol free cooling system in our main server room that draws cold air from the undercroft of the building reducing the air conditioning load.</w:t>
            </w:r>
          </w:p>
        </w:tc>
      </w:tr>
      <w:tr w:rsidR="00B1389F" w14:paraId="6A00F130" w14:textId="77777777" w:rsidTr="00100127">
        <w:tc>
          <w:tcPr>
            <w:tcW w:w="9242" w:type="dxa"/>
          </w:tcPr>
          <w:p w14:paraId="7EAA6566" w14:textId="4131B772" w:rsidR="00B1389F" w:rsidRPr="00B1389F" w:rsidRDefault="00B1389F" w:rsidP="00B44DE4">
            <w:pPr>
              <w:rPr>
                <w:b/>
                <w:i/>
              </w:rPr>
            </w:pPr>
            <w:r w:rsidRPr="00B1389F">
              <w:rPr>
                <w:b/>
                <w:i/>
              </w:rPr>
              <w:t>Travel</w:t>
            </w:r>
          </w:p>
        </w:tc>
      </w:tr>
      <w:tr w:rsidR="00B1389F" w14:paraId="0DA40157" w14:textId="77777777" w:rsidTr="00100127">
        <w:tc>
          <w:tcPr>
            <w:tcW w:w="9242" w:type="dxa"/>
          </w:tcPr>
          <w:p w14:paraId="55969A23" w14:textId="1F361659" w:rsidR="00B1389F" w:rsidRPr="00B1389F" w:rsidRDefault="00B1389F" w:rsidP="00B44DE4">
            <w:r>
              <w:t>Introduction of a low emission</w:t>
            </w:r>
            <w:r w:rsidRPr="00B1389F">
              <w:t xml:space="preserve"> pool car displacing the need to use private cars and hire cars</w:t>
            </w:r>
            <w:r w:rsidR="00E764C8">
              <w:t>.</w:t>
            </w:r>
          </w:p>
        </w:tc>
      </w:tr>
      <w:tr w:rsidR="00B1389F" w14:paraId="7CF8943D" w14:textId="77777777" w:rsidTr="00100127">
        <w:tc>
          <w:tcPr>
            <w:tcW w:w="9242" w:type="dxa"/>
          </w:tcPr>
          <w:p w14:paraId="07FFD770" w14:textId="3E9A3053" w:rsidR="00B1389F" w:rsidRPr="00B1389F" w:rsidRDefault="00E764C8" w:rsidP="00E764C8">
            <w:r>
              <w:t>Low carbon hire car contract</w:t>
            </w:r>
            <w:r w:rsidR="00B1389F">
              <w:t xml:space="preserve"> which specifies small cars as standard and </w:t>
            </w:r>
            <w:r>
              <w:t>limits fleet car emissions ratings to a maximum of 140</w:t>
            </w:r>
            <w:r w:rsidR="00B1389F">
              <w:t xml:space="preserve">g/km. </w:t>
            </w:r>
          </w:p>
        </w:tc>
      </w:tr>
      <w:tr w:rsidR="00B1389F" w14:paraId="504A4BC6" w14:textId="77777777" w:rsidTr="00100127">
        <w:tc>
          <w:tcPr>
            <w:tcW w:w="9242" w:type="dxa"/>
          </w:tcPr>
          <w:p w14:paraId="12332CCC" w14:textId="6D4C3264" w:rsidR="00B1389F" w:rsidRDefault="00B1389F" w:rsidP="00B44DE4">
            <w:r>
              <w:t>A fleet ‘outreach’ bus that runs on bio-fuel</w:t>
            </w:r>
            <w:r w:rsidR="00E764C8">
              <w:t>.</w:t>
            </w:r>
          </w:p>
        </w:tc>
      </w:tr>
      <w:tr w:rsidR="00B1389F" w14:paraId="45B0DC58" w14:textId="77777777" w:rsidTr="00100127">
        <w:tc>
          <w:tcPr>
            <w:tcW w:w="9242" w:type="dxa"/>
          </w:tcPr>
          <w:p w14:paraId="6E080B92" w14:textId="6DFECFD6" w:rsidR="00B1389F" w:rsidRDefault="00687648" w:rsidP="00B44DE4">
            <w:r>
              <w:t>Cycle to work scheme with over 50</w:t>
            </w:r>
            <w:r w:rsidR="00B1389F">
              <w:t xml:space="preserve"> participants.</w:t>
            </w:r>
          </w:p>
        </w:tc>
      </w:tr>
      <w:tr w:rsidR="00B1389F" w14:paraId="5154E454" w14:textId="77777777" w:rsidTr="00100127">
        <w:tc>
          <w:tcPr>
            <w:tcW w:w="9242" w:type="dxa"/>
          </w:tcPr>
          <w:p w14:paraId="5FB22C28" w14:textId="29820007" w:rsidR="00B1389F" w:rsidRDefault="00B1389F" w:rsidP="00B1389F">
            <w:r>
              <w:t>Improved availability and reliability of video and tele-conferencing facilities.</w:t>
            </w:r>
          </w:p>
        </w:tc>
      </w:tr>
    </w:tbl>
    <w:p w14:paraId="19D13495" w14:textId="77777777" w:rsidR="00100127" w:rsidRDefault="00100127" w:rsidP="00027151"/>
    <w:p w14:paraId="3C3CB4BF" w14:textId="77777777" w:rsidR="00E764C8" w:rsidRDefault="00E764C8" w:rsidP="00027151"/>
    <w:p w14:paraId="7FEEDFFF" w14:textId="77777777" w:rsidR="00E764C8" w:rsidRDefault="00E764C8" w:rsidP="00027151"/>
    <w:p w14:paraId="0A1426F6" w14:textId="77777777" w:rsidR="00E764C8" w:rsidRDefault="00E764C8" w:rsidP="00027151"/>
    <w:p w14:paraId="1BC23C0C" w14:textId="77777777" w:rsidR="004A1B2A" w:rsidRDefault="00E8309B" w:rsidP="004A1B2A">
      <w:pPr>
        <w:jc w:val="right"/>
        <w:rPr>
          <w:b/>
          <w:szCs w:val="24"/>
        </w:rPr>
      </w:pPr>
      <w:r>
        <w:rPr>
          <w:b/>
          <w:szCs w:val="24"/>
        </w:rPr>
        <w:lastRenderedPageBreak/>
        <w:t>T</w:t>
      </w:r>
      <w:r w:rsidR="004A1B2A" w:rsidRPr="004A1B2A">
        <w:rPr>
          <w:b/>
          <w:szCs w:val="24"/>
        </w:rPr>
        <w:t>able C</w:t>
      </w:r>
    </w:p>
    <w:p w14:paraId="05865D72" w14:textId="77777777" w:rsidR="004A1B2A" w:rsidRDefault="004A1B2A" w:rsidP="004A1B2A">
      <w:pPr>
        <w:rPr>
          <w:b/>
          <w:szCs w:val="24"/>
        </w:rPr>
      </w:pPr>
      <w:r>
        <w:rPr>
          <w:b/>
          <w:szCs w:val="24"/>
        </w:rPr>
        <w:t>Proposed Future Actions</w:t>
      </w:r>
    </w:p>
    <w:tbl>
      <w:tblPr>
        <w:tblStyle w:val="TableGrid"/>
        <w:tblW w:w="0" w:type="auto"/>
        <w:tblLook w:val="04A0" w:firstRow="1" w:lastRow="0" w:firstColumn="1" w:lastColumn="0" w:noHBand="0" w:noVBand="1"/>
      </w:tblPr>
      <w:tblGrid>
        <w:gridCol w:w="8876"/>
      </w:tblGrid>
      <w:tr w:rsidR="004A1B2A" w:rsidRPr="005E026D" w14:paraId="4F904A34" w14:textId="77777777" w:rsidTr="004A1B2A">
        <w:trPr>
          <w:cnfStyle w:val="100000000000" w:firstRow="1" w:lastRow="0" w:firstColumn="0" w:lastColumn="0" w:oddVBand="0" w:evenVBand="0" w:oddHBand="0" w:evenHBand="0" w:firstRowFirstColumn="0" w:firstRowLastColumn="0" w:lastRowFirstColumn="0" w:lastRowLastColumn="0"/>
        </w:trPr>
        <w:tc>
          <w:tcPr>
            <w:tcW w:w="8876" w:type="dxa"/>
          </w:tcPr>
          <w:p w14:paraId="0EBBA407" w14:textId="77777777" w:rsidR="004A1B2A" w:rsidRPr="005E026D" w:rsidRDefault="004A1B2A" w:rsidP="004A1B2A">
            <w:pPr>
              <w:spacing w:after="240"/>
              <w:jc w:val="center"/>
              <w:rPr>
                <w:b w:val="0"/>
              </w:rPr>
            </w:pPr>
            <w:r w:rsidRPr="005E026D">
              <w:t>Deta</w:t>
            </w:r>
            <w:r>
              <w:t>ils of proposed actions</w:t>
            </w:r>
          </w:p>
        </w:tc>
      </w:tr>
      <w:tr w:rsidR="004A1B2A" w:rsidRPr="005E026D" w14:paraId="2062DFE3" w14:textId="77777777" w:rsidTr="004A1B2A">
        <w:tc>
          <w:tcPr>
            <w:tcW w:w="8876" w:type="dxa"/>
          </w:tcPr>
          <w:p w14:paraId="6D7B866D" w14:textId="77777777" w:rsidR="001667F1" w:rsidRDefault="001667F1" w:rsidP="004A1B2A"/>
          <w:p w14:paraId="36E10620" w14:textId="77777777" w:rsidR="004A1B2A" w:rsidRDefault="004A1B2A" w:rsidP="004A1B2A">
            <w:r>
              <w:t>Investments might include:</w:t>
            </w:r>
          </w:p>
          <w:p w14:paraId="3DCE742F" w14:textId="77777777" w:rsidR="004A1B2A" w:rsidRDefault="00433214" w:rsidP="004A1B2A">
            <w:pPr>
              <w:pStyle w:val="ListParagraph"/>
              <w:numPr>
                <w:ilvl w:val="0"/>
                <w:numId w:val="11"/>
              </w:numPr>
            </w:pPr>
            <w:r>
              <w:t>Strategic p</w:t>
            </w:r>
            <w:r w:rsidR="00FB0A3E">
              <w:t>hased replacement of the air conditioning equipment across the estate in accordance with legislative requirements (mandatory).</w:t>
            </w:r>
          </w:p>
          <w:p w14:paraId="656F057F" w14:textId="0AF01A4C" w:rsidR="00F60408" w:rsidRDefault="00F60408" w:rsidP="004A1B2A">
            <w:pPr>
              <w:pStyle w:val="ListParagraph"/>
              <w:numPr>
                <w:ilvl w:val="0"/>
                <w:numId w:val="11"/>
              </w:numPr>
            </w:pPr>
            <w:r>
              <w:t>Consideration and feasibility of costs and energy generation capacity of solar panels for T</w:t>
            </w:r>
            <w:r>
              <w:rPr>
                <w:rFonts w:ascii="Arial" w:hAnsi="Arial" w:cs="Arial"/>
              </w:rPr>
              <w:t>ŷ</w:t>
            </w:r>
            <w:r>
              <w:t xml:space="preserve"> Hywel.</w:t>
            </w:r>
          </w:p>
          <w:p w14:paraId="344C00D2" w14:textId="3E6D47F6" w:rsidR="00FB0A3E" w:rsidRDefault="00A4028E" w:rsidP="004A1B2A">
            <w:pPr>
              <w:pStyle w:val="ListParagraph"/>
              <w:numPr>
                <w:ilvl w:val="0"/>
                <w:numId w:val="11"/>
              </w:numPr>
            </w:pPr>
            <w:r>
              <w:t>R</w:t>
            </w:r>
            <w:r w:rsidR="00FB0A3E">
              <w:t>eplacement of the water boilers in T</w:t>
            </w:r>
            <w:r w:rsidR="00FB0A3E">
              <w:rPr>
                <w:rFonts w:ascii="Arial" w:hAnsi="Arial" w:cs="Arial"/>
              </w:rPr>
              <w:t>ŷ</w:t>
            </w:r>
            <w:r w:rsidR="00FB0A3E">
              <w:t xml:space="preserve"> Hywel with more eff</w:t>
            </w:r>
            <w:r w:rsidR="008D5A11">
              <w:t>icient condensing water boilers or solar water heating</w:t>
            </w:r>
            <w:r w:rsidR="00506873">
              <w:t xml:space="preserve"> (subject to outcome of district heating feasibility assessment)</w:t>
            </w:r>
            <w:r w:rsidR="008D5A11">
              <w:t>.</w:t>
            </w:r>
          </w:p>
          <w:p w14:paraId="4BB31644" w14:textId="77777777" w:rsidR="00F53BBB" w:rsidRDefault="00926449" w:rsidP="004A1B2A">
            <w:pPr>
              <w:pStyle w:val="ListParagraph"/>
              <w:numPr>
                <w:ilvl w:val="0"/>
                <w:numId w:val="11"/>
              </w:numPr>
            </w:pPr>
            <w:r>
              <w:t>Phased replacement of field based controllers around T</w:t>
            </w:r>
            <w:r>
              <w:rPr>
                <w:rFonts w:ascii="Arial" w:hAnsi="Arial" w:cs="Arial"/>
              </w:rPr>
              <w:t>ŷ</w:t>
            </w:r>
            <w:r>
              <w:t xml:space="preserve"> Hywel to support and enhance operation of the building management system.</w:t>
            </w:r>
          </w:p>
          <w:p w14:paraId="62C858A5" w14:textId="4200B32B" w:rsidR="00926449" w:rsidRDefault="00F53BBB" w:rsidP="004A1B2A">
            <w:pPr>
              <w:pStyle w:val="ListParagraph"/>
              <w:numPr>
                <w:ilvl w:val="0"/>
                <w:numId w:val="11"/>
              </w:numPr>
            </w:pPr>
            <w:r>
              <w:t>Develop</w:t>
            </w:r>
            <w:r w:rsidR="002B05D4">
              <w:t>ment of</w:t>
            </w:r>
            <w:r>
              <w:t xml:space="preserve"> strategic targets for reducing the impact of waste, water use and business travel.</w:t>
            </w:r>
            <w:r w:rsidR="00926449">
              <w:t xml:space="preserve"> </w:t>
            </w:r>
          </w:p>
          <w:p w14:paraId="2F4C6246" w14:textId="3047C440" w:rsidR="00100438" w:rsidRDefault="00100438" w:rsidP="00A4028E">
            <w:pPr>
              <w:pStyle w:val="ListParagraph"/>
            </w:pPr>
          </w:p>
        </w:tc>
      </w:tr>
    </w:tbl>
    <w:p w14:paraId="0C33D3BF" w14:textId="77777777" w:rsidR="004A1B2A" w:rsidRDefault="004A1B2A" w:rsidP="00CC34D2">
      <w:pPr>
        <w:rPr>
          <w:b/>
          <w:szCs w:val="24"/>
        </w:rPr>
      </w:pPr>
    </w:p>
    <w:p w14:paraId="56BAFDBC" w14:textId="7B7940B9" w:rsidR="00A71B74" w:rsidRDefault="00A71B74" w:rsidP="00A71B74">
      <w:pPr>
        <w:jc w:val="right"/>
        <w:rPr>
          <w:b/>
          <w:szCs w:val="24"/>
        </w:rPr>
      </w:pPr>
      <w:r>
        <w:rPr>
          <w:b/>
          <w:szCs w:val="24"/>
        </w:rPr>
        <w:t>Table D</w:t>
      </w:r>
    </w:p>
    <w:p w14:paraId="3BF635B3" w14:textId="5D7CCF57" w:rsidR="00A71B74" w:rsidRDefault="00A71B74" w:rsidP="00A71B74">
      <w:pPr>
        <w:rPr>
          <w:b/>
          <w:szCs w:val="24"/>
        </w:rPr>
      </w:pPr>
      <w:r>
        <w:rPr>
          <w:b/>
          <w:szCs w:val="24"/>
        </w:rPr>
        <w:t>Building Display Energy Certificates</w:t>
      </w:r>
      <w:r w:rsidR="000B4601" w:rsidRPr="000B4601">
        <w:rPr>
          <w:b/>
          <w:szCs w:val="24"/>
          <w:vertAlign w:val="superscript"/>
        </w:rPr>
        <w:t>1</w:t>
      </w:r>
    </w:p>
    <w:tbl>
      <w:tblPr>
        <w:tblStyle w:val="TableGrid"/>
        <w:tblW w:w="0" w:type="auto"/>
        <w:tblLook w:val="04A0" w:firstRow="1" w:lastRow="0" w:firstColumn="1" w:lastColumn="0" w:noHBand="0" w:noVBand="1"/>
      </w:tblPr>
      <w:tblGrid>
        <w:gridCol w:w="3080"/>
        <w:gridCol w:w="3081"/>
        <w:gridCol w:w="3081"/>
      </w:tblGrid>
      <w:tr w:rsidR="00A71B74" w14:paraId="286A2B84" w14:textId="77777777" w:rsidTr="00A71B74">
        <w:trPr>
          <w:cnfStyle w:val="100000000000" w:firstRow="1" w:lastRow="0" w:firstColumn="0" w:lastColumn="0" w:oddVBand="0" w:evenVBand="0" w:oddHBand="0" w:evenHBand="0" w:firstRowFirstColumn="0" w:firstRowLastColumn="0" w:lastRowFirstColumn="0" w:lastRowLastColumn="0"/>
        </w:trPr>
        <w:tc>
          <w:tcPr>
            <w:tcW w:w="3080" w:type="dxa"/>
          </w:tcPr>
          <w:p w14:paraId="0D80CC04" w14:textId="07075623" w:rsidR="00A71B74" w:rsidRDefault="00A71B74" w:rsidP="00A71B74">
            <w:pPr>
              <w:rPr>
                <w:b w:val="0"/>
                <w:szCs w:val="24"/>
              </w:rPr>
            </w:pPr>
            <w:r>
              <w:rPr>
                <w:b w:val="0"/>
                <w:szCs w:val="24"/>
              </w:rPr>
              <w:t>Building</w:t>
            </w:r>
          </w:p>
        </w:tc>
        <w:tc>
          <w:tcPr>
            <w:tcW w:w="3081" w:type="dxa"/>
          </w:tcPr>
          <w:p w14:paraId="211F76CB" w14:textId="07D7D1BD" w:rsidR="00A71B74" w:rsidRDefault="00A71B74" w:rsidP="00983C7B">
            <w:pPr>
              <w:jc w:val="center"/>
              <w:rPr>
                <w:b w:val="0"/>
                <w:szCs w:val="24"/>
              </w:rPr>
            </w:pPr>
            <w:r>
              <w:rPr>
                <w:b w:val="0"/>
                <w:szCs w:val="24"/>
              </w:rPr>
              <w:t>DEC rating –</w:t>
            </w:r>
            <w:r w:rsidR="00983C7B">
              <w:rPr>
                <w:b w:val="0"/>
                <w:szCs w:val="24"/>
              </w:rPr>
              <w:t xml:space="preserve"> 2008</w:t>
            </w:r>
          </w:p>
        </w:tc>
        <w:tc>
          <w:tcPr>
            <w:tcW w:w="3081" w:type="dxa"/>
          </w:tcPr>
          <w:p w14:paraId="4F1D0C35" w14:textId="00E0F23E" w:rsidR="00A71B74" w:rsidRDefault="00983C7B" w:rsidP="00983C7B">
            <w:pPr>
              <w:jc w:val="center"/>
              <w:rPr>
                <w:b w:val="0"/>
                <w:szCs w:val="24"/>
              </w:rPr>
            </w:pPr>
            <w:r>
              <w:rPr>
                <w:b w:val="0"/>
                <w:szCs w:val="24"/>
              </w:rPr>
              <w:t>Dec rating - 2014</w:t>
            </w:r>
          </w:p>
        </w:tc>
      </w:tr>
      <w:tr w:rsidR="00A71B74" w14:paraId="0ACA8424" w14:textId="77777777" w:rsidTr="00A71B74">
        <w:tc>
          <w:tcPr>
            <w:tcW w:w="3080" w:type="dxa"/>
          </w:tcPr>
          <w:p w14:paraId="0C142DC4" w14:textId="52BA7EF2" w:rsidR="00A71B74" w:rsidRPr="00A71B74" w:rsidRDefault="00A71B74" w:rsidP="00A71B74">
            <w:pPr>
              <w:rPr>
                <w:szCs w:val="24"/>
              </w:rPr>
            </w:pPr>
            <w:r w:rsidRPr="00A71B74">
              <w:rPr>
                <w:szCs w:val="24"/>
              </w:rPr>
              <w:t>Ty Hywel</w:t>
            </w:r>
          </w:p>
        </w:tc>
        <w:tc>
          <w:tcPr>
            <w:tcW w:w="3081" w:type="dxa"/>
          </w:tcPr>
          <w:p w14:paraId="7D2C5E43" w14:textId="4ACB3BA5" w:rsidR="00A71B74" w:rsidRDefault="00A71B74" w:rsidP="00A71B74">
            <w:pPr>
              <w:jc w:val="center"/>
              <w:rPr>
                <w:b/>
                <w:szCs w:val="24"/>
              </w:rPr>
            </w:pPr>
            <w:r>
              <w:rPr>
                <w:b/>
                <w:szCs w:val="24"/>
              </w:rPr>
              <w:t>G (164)</w:t>
            </w:r>
          </w:p>
        </w:tc>
        <w:tc>
          <w:tcPr>
            <w:tcW w:w="3081" w:type="dxa"/>
          </w:tcPr>
          <w:p w14:paraId="2A293B09" w14:textId="4C609CC4" w:rsidR="00A71B74" w:rsidRDefault="001F2D55" w:rsidP="00983C7B">
            <w:pPr>
              <w:jc w:val="center"/>
              <w:rPr>
                <w:b/>
                <w:szCs w:val="24"/>
              </w:rPr>
            </w:pPr>
            <w:r>
              <w:rPr>
                <w:b/>
                <w:szCs w:val="24"/>
              </w:rPr>
              <w:t>E (112</w:t>
            </w:r>
            <w:r w:rsidR="00301132">
              <w:rPr>
                <w:b/>
                <w:szCs w:val="24"/>
              </w:rPr>
              <w:t>)</w:t>
            </w:r>
          </w:p>
        </w:tc>
      </w:tr>
      <w:tr w:rsidR="00A71B74" w14:paraId="33EF867E" w14:textId="77777777" w:rsidTr="00A71B74">
        <w:tc>
          <w:tcPr>
            <w:tcW w:w="3080" w:type="dxa"/>
          </w:tcPr>
          <w:p w14:paraId="5ED748E7" w14:textId="57A4F6EF" w:rsidR="00A71B74" w:rsidRPr="00A71B74" w:rsidRDefault="00A71B74" w:rsidP="00A71B74">
            <w:pPr>
              <w:rPr>
                <w:szCs w:val="24"/>
              </w:rPr>
            </w:pPr>
            <w:r w:rsidRPr="00A71B74">
              <w:rPr>
                <w:szCs w:val="24"/>
              </w:rPr>
              <w:t>Senedd</w:t>
            </w:r>
          </w:p>
        </w:tc>
        <w:tc>
          <w:tcPr>
            <w:tcW w:w="3081" w:type="dxa"/>
          </w:tcPr>
          <w:p w14:paraId="04149E30" w14:textId="71BC0061" w:rsidR="00A71B74" w:rsidRDefault="00A71B74" w:rsidP="00A71B74">
            <w:pPr>
              <w:jc w:val="center"/>
              <w:rPr>
                <w:b/>
                <w:szCs w:val="24"/>
              </w:rPr>
            </w:pPr>
            <w:r>
              <w:rPr>
                <w:b/>
                <w:szCs w:val="24"/>
              </w:rPr>
              <w:t>C (70)</w:t>
            </w:r>
          </w:p>
        </w:tc>
        <w:tc>
          <w:tcPr>
            <w:tcW w:w="3081" w:type="dxa"/>
          </w:tcPr>
          <w:p w14:paraId="260549DE" w14:textId="6CC7C9D4" w:rsidR="00A71B74" w:rsidRDefault="001F2D55" w:rsidP="00983C7B">
            <w:pPr>
              <w:jc w:val="center"/>
              <w:rPr>
                <w:b/>
                <w:szCs w:val="24"/>
              </w:rPr>
            </w:pPr>
            <w:r>
              <w:rPr>
                <w:b/>
                <w:szCs w:val="24"/>
              </w:rPr>
              <w:t>C (57</w:t>
            </w:r>
            <w:r w:rsidR="00301132">
              <w:rPr>
                <w:b/>
                <w:szCs w:val="24"/>
              </w:rPr>
              <w:t>)</w:t>
            </w:r>
          </w:p>
        </w:tc>
      </w:tr>
      <w:tr w:rsidR="00A71B74" w14:paraId="0D2B67F6" w14:textId="77777777" w:rsidTr="00A71B74">
        <w:tc>
          <w:tcPr>
            <w:tcW w:w="3080" w:type="dxa"/>
          </w:tcPr>
          <w:p w14:paraId="163C1194" w14:textId="6EA213AD" w:rsidR="00A71B74" w:rsidRPr="00A71B74" w:rsidRDefault="00A71B74" w:rsidP="00A71B74">
            <w:pPr>
              <w:rPr>
                <w:szCs w:val="24"/>
              </w:rPr>
            </w:pPr>
            <w:r w:rsidRPr="00A71B74">
              <w:rPr>
                <w:szCs w:val="24"/>
              </w:rPr>
              <w:t>Pierhead</w:t>
            </w:r>
          </w:p>
        </w:tc>
        <w:tc>
          <w:tcPr>
            <w:tcW w:w="3081" w:type="dxa"/>
          </w:tcPr>
          <w:p w14:paraId="197B0C98" w14:textId="54678877" w:rsidR="00A71B74" w:rsidRDefault="00A71B74" w:rsidP="00A71B74">
            <w:pPr>
              <w:jc w:val="center"/>
              <w:rPr>
                <w:b/>
                <w:szCs w:val="24"/>
              </w:rPr>
            </w:pPr>
            <w:r>
              <w:rPr>
                <w:b/>
                <w:szCs w:val="24"/>
              </w:rPr>
              <w:t>C (67)</w:t>
            </w:r>
          </w:p>
        </w:tc>
        <w:tc>
          <w:tcPr>
            <w:tcW w:w="3081" w:type="dxa"/>
          </w:tcPr>
          <w:p w14:paraId="209EF50B" w14:textId="7E967AFD" w:rsidR="00A71B74" w:rsidRDefault="001F2D55" w:rsidP="00983C7B">
            <w:pPr>
              <w:jc w:val="center"/>
              <w:rPr>
                <w:b/>
                <w:szCs w:val="24"/>
              </w:rPr>
            </w:pPr>
            <w:r>
              <w:rPr>
                <w:b/>
                <w:szCs w:val="24"/>
              </w:rPr>
              <w:t>C (53</w:t>
            </w:r>
            <w:r w:rsidR="00301132">
              <w:rPr>
                <w:b/>
                <w:szCs w:val="24"/>
              </w:rPr>
              <w:t>)</w:t>
            </w:r>
          </w:p>
        </w:tc>
      </w:tr>
    </w:tbl>
    <w:p w14:paraId="2E4E8919" w14:textId="77777777" w:rsidR="00A71B74" w:rsidRDefault="00A71B74" w:rsidP="00A71B74">
      <w:pPr>
        <w:rPr>
          <w:b/>
          <w:szCs w:val="24"/>
        </w:rPr>
      </w:pPr>
    </w:p>
    <w:p w14:paraId="2B054036" w14:textId="4DE179EE" w:rsidR="0085134D" w:rsidRPr="00E4774B" w:rsidRDefault="000B4601" w:rsidP="00CC34D2">
      <w:pPr>
        <w:rPr>
          <w:b/>
          <w:sz w:val="20"/>
          <w:szCs w:val="24"/>
        </w:rPr>
      </w:pPr>
      <w:r w:rsidRPr="000B4601">
        <w:rPr>
          <w:sz w:val="20"/>
          <w:szCs w:val="24"/>
          <w:vertAlign w:val="superscript"/>
        </w:rPr>
        <w:t>1</w:t>
      </w:r>
      <w:r w:rsidR="00626034" w:rsidRPr="000B4601">
        <w:rPr>
          <w:sz w:val="20"/>
          <w:szCs w:val="24"/>
        </w:rPr>
        <w:t>Display Energy Certificates (DECs) rate the actual or operational energy performance of a building against established benchmarks and take into consideration the ways in which occupants use the building.</w:t>
      </w:r>
      <w:r>
        <w:rPr>
          <w:sz w:val="20"/>
          <w:szCs w:val="24"/>
        </w:rPr>
        <w:t xml:space="preserve">  </w:t>
      </w:r>
      <w:r w:rsidRPr="000B4601">
        <w:rPr>
          <w:sz w:val="20"/>
          <w:szCs w:val="24"/>
        </w:rPr>
        <w:t>The operational rating on a DEC illustrates how efficiently the building is using energy</w:t>
      </w:r>
      <w:r>
        <w:rPr>
          <w:sz w:val="20"/>
          <w:szCs w:val="24"/>
        </w:rPr>
        <w:t>, A being the most efficient and G being the least efficient.</w:t>
      </w:r>
    </w:p>
    <w:sectPr w:rsidR="0085134D" w:rsidRPr="00E4774B" w:rsidSect="00062AF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8427" w14:textId="77777777" w:rsidR="009C127E" w:rsidRDefault="009C127E" w:rsidP="00062AFF">
      <w:pPr>
        <w:spacing w:after="0" w:line="240" w:lineRule="auto"/>
      </w:pPr>
      <w:r>
        <w:separator/>
      </w:r>
    </w:p>
  </w:endnote>
  <w:endnote w:type="continuationSeparator" w:id="0">
    <w:p w14:paraId="6FA377B8" w14:textId="77777777" w:rsidR="009C127E" w:rsidRDefault="009C127E" w:rsidP="0006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45951"/>
      <w:docPartObj>
        <w:docPartGallery w:val="Page Numbers (Bottom of Page)"/>
        <w:docPartUnique/>
      </w:docPartObj>
    </w:sdtPr>
    <w:sdtEndPr>
      <w:rPr>
        <w:noProof/>
      </w:rPr>
    </w:sdtEndPr>
    <w:sdtContent>
      <w:p w14:paraId="3A19DF03" w14:textId="77777777" w:rsidR="009C127E" w:rsidRDefault="009C127E" w:rsidP="001F25C6">
        <w:pPr>
          <w:pStyle w:val="Footer"/>
          <w:jc w:val="right"/>
        </w:pPr>
        <w:r>
          <w:fldChar w:fldCharType="begin"/>
        </w:r>
        <w:r>
          <w:instrText xml:space="preserve"> PAGE   \* MERGEFORMAT </w:instrText>
        </w:r>
        <w:r>
          <w:fldChar w:fldCharType="separate"/>
        </w:r>
        <w:r w:rsidR="00A52E4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401498"/>
      <w:docPartObj>
        <w:docPartGallery w:val="Page Numbers (Bottom of Page)"/>
        <w:docPartUnique/>
      </w:docPartObj>
    </w:sdtPr>
    <w:sdtEndPr>
      <w:rPr>
        <w:noProof/>
      </w:rPr>
    </w:sdtEndPr>
    <w:sdtContent>
      <w:p w14:paraId="252EACB1" w14:textId="77777777" w:rsidR="009C127E" w:rsidRDefault="009C127E" w:rsidP="001F25C6">
        <w:pPr>
          <w:pStyle w:val="Footer"/>
          <w:jc w:val="right"/>
        </w:pPr>
        <w:r>
          <w:fldChar w:fldCharType="begin"/>
        </w:r>
        <w:r>
          <w:instrText xml:space="preserve"> PAGE   \* MERGEFORMAT </w:instrText>
        </w:r>
        <w:r>
          <w:fldChar w:fldCharType="separate"/>
        </w:r>
        <w:r w:rsidR="00A52E4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990C" w14:textId="77777777" w:rsidR="009C127E" w:rsidRDefault="009C12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25036"/>
      <w:docPartObj>
        <w:docPartGallery w:val="Page Numbers (Bottom of Page)"/>
        <w:docPartUnique/>
      </w:docPartObj>
    </w:sdtPr>
    <w:sdtEndPr>
      <w:rPr>
        <w:noProof/>
      </w:rPr>
    </w:sdtEndPr>
    <w:sdtContent>
      <w:p w14:paraId="3A913B60" w14:textId="77777777" w:rsidR="009C127E" w:rsidRDefault="009C127E" w:rsidP="002431E8">
        <w:pPr>
          <w:pStyle w:val="Footer"/>
          <w:jc w:val="right"/>
        </w:pPr>
        <w:r>
          <w:fldChar w:fldCharType="begin"/>
        </w:r>
        <w:r>
          <w:instrText xml:space="preserve"> PAGE   \* MERGEFORMAT </w:instrText>
        </w:r>
        <w:r>
          <w:fldChar w:fldCharType="separate"/>
        </w:r>
        <w:r w:rsidR="00A52E47">
          <w:rPr>
            <w:noProof/>
          </w:rPr>
          <w:t>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9217"/>
      <w:docPartObj>
        <w:docPartGallery w:val="Page Numbers (Bottom of Page)"/>
        <w:docPartUnique/>
      </w:docPartObj>
    </w:sdtPr>
    <w:sdtEndPr>
      <w:rPr>
        <w:noProof/>
      </w:rPr>
    </w:sdtEndPr>
    <w:sdtContent>
      <w:p w14:paraId="36B7CC38" w14:textId="77777777" w:rsidR="009C127E" w:rsidRDefault="009C127E" w:rsidP="002431E8">
        <w:pPr>
          <w:pStyle w:val="Footer"/>
          <w:jc w:val="right"/>
        </w:pPr>
        <w:r>
          <w:fldChar w:fldCharType="begin"/>
        </w:r>
        <w:r>
          <w:instrText xml:space="preserve"> PAGE   \* MERGEFORMAT </w:instrText>
        </w:r>
        <w:r>
          <w:fldChar w:fldCharType="separate"/>
        </w:r>
        <w:r w:rsidR="00A52E47">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F66B" w14:textId="77777777" w:rsidR="009C127E" w:rsidRDefault="009C127E" w:rsidP="00062AFF">
      <w:pPr>
        <w:spacing w:after="0" w:line="240" w:lineRule="auto"/>
      </w:pPr>
      <w:r>
        <w:separator/>
      </w:r>
    </w:p>
  </w:footnote>
  <w:footnote w:type="continuationSeparator" w:id="0">
    <w:p w14:paraId="218ADD6D" w14:textId="77777777" w:rsidR="009C127E" w:rsidRDefault="009C127E" w:rsidP="00062AFF">
      <w:pPr>
        <w:spacing w:after="0" w:line="240" w:lineRule="auto"/>
      </w:pPr>
      <w:r>
        <w:continuationSeparator/>
      </w:r>
    </w:p>
  </w:footnote>
  <w:footnote w:id="1">
    <w:p w14:paraId="2E1294D6" w14:textId="77777777" w:rsidR="00FF1AEB" w:rsidRDefault="00FF1AEB" w:rsidP="00FF1A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15DD" w14:textId="51E4D1D7" w:rsidR="009C127E" w:rsidRDefault="009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42DA" w14:textId="525314AC" w:rsidR="009C127E" w:rsidRDefault="009C127E" w:rsidP="00277A6D">
    <w:r>
      <w:t xml:space="preserve">AC(4)2012(11) Paper 2 </w:t>
    </w:r>
    <w:r>
      <w:br/>
    </w:r>
    <w:r w:rsidRPr="00A3035C">
      <w:t>Carbon Management Strategy – Progress and Future Plans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6404" w14:textId="3426DC79" w:rsidR="009C127E" w:rsidRPr="00062AFF" w:rsidRDefault="009C127E" w:rsidP="00062AFF">
    <w:pPr>
      <w:pStyle w:val="ACpaperheading"/>
      <w:rPr>
        <w:b w:val="0"/>
      </w:rPr>
    </w:pPr>
    <w:r w:rsidRPr="00062AFF">
      <w:rPr>
        <w:b w:val="0"/>
      </w:rPr>
      <w:drawing>
        <wp:anchor distT="0" distB="0" distL="114300" distR="114300" simplePos="0" relativeHeight="251665408" behindDoc="1" locked="0" layoutInCell="1" allowOverlap="1" wp14:anchorId="055DCEBD" wp14:editId="7AD0E3C6">
          <wp:simplePos x="0" y="0"/>
          <wp:positionH relativeFrom="column">
            <wp:posOffset>4680585</wp:posOffset>
          </wp:positionH>
          <wp:positionV relativeFrom="paragraph">
            <wp:posOffset>-180340</wp:posOffset>
          </wp:positionV>
          <wp:extent cx="1011600" cy="1440000"/>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anchor>
      </w:drawing>
    </w:r>
    <w:r w:rsidRPr="00062AFF">
      <w:rPr>
        <w:b w:val="0"/>
      </w:rPr>
      <w:t>Comisiwn y Cynulliad</w:t>
    </w:r>
    <w:r w:rsidRPr="00062AFF">
      <w:rPr>
        <w:b w:val="0"/>
      </w:rPr>
      <w:br/>
      <w:t>Assembly Commission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AE97" w14:textId="1B89572D" w:rsidR="009C127E" w:rsidRDefault="009C12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A7391" w14:textId="7EE22120" w:rsidR="009C127E" w:rsidRDefault="009C127E" w:rsidP="00277A6D">
    <w:r>
      <w:t xml:space="preserve">AC(4)2012(11) Paper 2 </w:t>
    </w:r>
    <w:r>
      <w:br/>
    </w:r>
    <w:r w:rsidRPr="00A3035C">
      <w:t>Carbo</w:t>
    </w:r>
    <w:r w:rsidR="00013AAB">
      <w:t>n Management Strategy – Conclusion</w:t>
    </w:r>
    <w:r w:rsidRPr="00A3035C">
      <w:t xml:space="preserve"> and Future Plans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070E" w14:textId="584CF615" w:rsidR="009C127E" w:rsidRPr="00062AFF" w:rsidRDefault="009C127E" w:rsidP="00062AFF">
    <w:pPr>
      <w:pStyle w:val="ACpaperheading"/>
      <w:rPr>
        <w:b w:val="0"/>
      </w:rPr>
    </w:pPr>
    <w:r>
      <w:rPr>
        <w:b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173"/>
    <w:multiLevelType w:val="hybridMultilevel"/>
    <w:tmpl w:val="626E9B16"/>
    <w:lvl w:ilvl="0" w:tplc="70946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9458D"/>
    <w:multiLevelType w:val="hybridMultilevel"/>
    <w:tmpl w:val="0374ED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0225174"/>
    <w:multiLevelType w:val="hybridMultilevel"/>
    <w:tmpl w:val="3976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9735F"/>
    <w:multiLevelType w:val="hybridMultilevel"/>
    <w:tmpl w:val="B1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B6661"/>
    <w:multiLevelType w:val="multilevel"/>
    <w:tmpl w:val="C2ACF6B8"/>
    <w:lvl w:ilvl="0">
      <w:start w:val="3"/>
      <w:numFmt w:val="decimal"/>
      <w:lvlText w:val="%1"/>
      <w:lvlJc w:val="left"/>
      <w:pPr>
        <w:ind w:left="375" w:hanging="375"/>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nsid w:val="51794E6E"/>
    <w:multiLevelType w:val="hybridMultilevel"/>
    <w:tmpl w:val="B1521468"/>
    <w:lvl w:ilvl="0" w:tplc="F1BC5C10">
      <w:start w:val="1"/>
      <w:numFmt w:val="lowerLetter"/>
      <w:lvlText w:val="%1)"/>
      <w:lvlJc w:val="left"/>
      <w:pPr>
        <w:ind w:left="644"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89C2B70"/>
    <w:multiLevelType w:val="multilevel"/>
    <w:tmpl w:val="E4007A74"/>
    <w:lvl w:ilvl="0">
      <w:start w:val="1"/>
      <w:numFmt w:val="decimal"/>
      <w:pStyle w:val="ACsubheading"/>
      <w:lvlText w:val="%1.0"/>
      <w:lvlJc w:val="left"/>
      <w:pPr>
        <w:ind w:left="567" w:hanging="567"/>
      </w:pPr>
      <w:rPr>
        <w:rFonts w:ascii="Lucida Sans" w:hAnsi="Lucida Sans" w:hint="default"/>
        <w:b/>
        <w:i w:val="0"/>
        <w:sz w:val="24"/>
      </w:rPr>
    </w:lvl>
    <w:lvl w:ilvl="1">
      <w:start w:val="1"/>
      <w:numFmt w:val="decimal"/>
      <w:lvlText w:val="%1.%2"/>
      <w:lvlJc w:val="left"/>
      <w:pPr>
        <w:ind w:left="567" w:hanging="567"/>
      </w:pPr>
      <w:rPr>
        <w:rFonts w:ascii="Lucida Sans" w:hAnsi="Lucida Sans" w:hint="default"/>
        <w:b w:val="0"/>
        <w:i w:val="0"/>
        <w:sz w:val="24"/>
      </w:rPr>
    </w:lvl>
    <w:lvl w:ilvl="2">
      <w:start w:val="1"/>
      <w:numFmt w:val="lowerLetter"/>
      <w:lvlText w:val="%3."/>
      <w:lvlJc w:val="left"/>
      <w:pPr>
        <w:tabs>
          <w:tab w:val="num" w:pos="1474"/>
        </w:tabs>
        <w:ind w:left="1021" w:hanging="454"/>
      </w:pPr>
      <w:rPr>
        <w:rFonts w:hint="default"/>
        <w:b w:val="0"/>
        <w:i w:val="0"/>
      </w:rPr>
    </w:lvl>
    <w:lvl w:ilvl="3">
      <w:start w:val="1"/>
      <w:numFmt w:val="lowerRoman"/>
      <w:pStyle w:val="AClistparagraph"/>
      <w:lvlText w:val="%4."/>
      <w:lvlJc w:val="left"/>
      <w:pPr>
        <w:tabs>
          <w:tab w:val="num" w:pos="13608"/>
        </w:tabs>
        <w:ind w:left="1418" w:hanging="284"/>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
    <w:nsid w:val="5B353B4F"/>
    <w:multiLevelType w:val="multilevel"/>
    <w:tmpl w:val="2B466D28"/>
    <w:lvl w:ilvl="0">
      <w:start w:val="1"/>
      <w:numFmt w:val="bullet"/>
      <w:pStyle w:val="ACbullets"/>
      <w:lvlText w:val=""/>
      <w:lvlJc w:val="left"/>
      <w:pPr>
        <w:tabs>
          <w:tab w:val="num" w:pos="1418"/>
        </w:tabs>
        <w:ind w:left="1077" w:hanging="226"/>
      </w:pPr>
      <w:rPr>
        <w:rFonts w:ascii="Symbol" w:hAnsi="Symbol" w:hint="default"/>
      </w:rPr>
    </w:lvl>
    <w:lvl w:ilvl="1">
      <w:start w:val="1"/>
      <w:numFmt w:val="bullet"/>
      <w:lvlText w:val="–"/>
      <w:lvlJc w:val="left"/>
      <w:pPr>
        <w:tabs>
          <w:tab w:val="num" w:pos="1985"/>
        </w:tabs>
        <w:ind w:left="1644" w:hanging="226"/>
      </w:pPr>
      <w:rPr>
        <w:rFonts w:ascii="Lucida Sans" w:hAnsi="Lucida Sans" w:hint="default"/>
      </w:rPr>
    </w:lvl>
    <w:lvl w:ilvl="2">
      <w:start w:val="1"/>
      <w:numFmt w:val="bullet"/>
      <w:lvlText w:val="–"/>
      <w:lvlJc w:val="left"/>
      <w:pPr>
        <w:tabs>
          <w:tab w:val="num" w:pos="2552"/>
        </w:tabs>
        <w:ind w:left="2211" w:hanging="226"/>
      </w:pPr>
      <w:rPr>
        <w:rFonts w:ascii="Lucida Sans" w:hAnsi="Lucida Sans" w:hint="default"/>
      </w:rPr>
    </w:lvl>
    <w:lvl w:ilvl="3">
      <w:start w:val="1"/>
      <w:numFmt w:val="bullet"/>
      <w:lvlText w:val=""/>
      <w:lvlJc w:val="left"/>
      <w:pPr>
        <w:ind w:left="2182" w:hanging="360"/>
      </w:pPr>
      <w:rPr>
        <w:rFonts w:ascii="Symbol" w:hAnsi="Symbol" w:hint="default"/>
      </w:rPr>
    </w:lvl>
    <w:lvl w:ilvl="4">
      <w:start w:val="1"/>
      <w:numFmt w:val="bullet"/>
      <w:lvlText w:val="o"/>
      <w:lvlJc w:val="left"/>
      <w:pPr>
        <w:ind w:left="2902" w:hanging="360"/>
      </w:pPr>
      <w:rPr>
        <w:rFonts w:ascii="Courier New" w:hAnsi="Courier New" w:cs="Courier New" w:hint="default"/>
      </w:rPr>
    </w:lvl>
    <w:lvl w:ilvl="5">
      <w:start w:val="1"/>
      <w:numFmt w:val="bullet"/>
      <w:lvlText w:val=""/>
      <w:lvlJc w:val="left"/>
      <w:pPr>
        <w:ind w:left="3622" w:hanging="360"/>
      </w:pPr>
      <w:rPr>
        <w:rFonts w:ascii="Wingdings" w:hAnsi="Wingdings" w:hint="default"/>
      </w:rPr>
    </w:lvl>
    <w:lvl w:ilvl="6">
      <w:start w:val="1"/>
      <w:numFmt w:val="bullet"/>
      <w:lvlText w:val=""/>
      <w:lvlJc w:val="left"/>
      <w:pPr>
        <w:ind w:left="4342" w:hanging="360"/>
      </w:pPr>
      <w:rPr>
        <w:rFonts w:ascii="Symbol" w:hAnsi="Symbol" w:hint="default"/>
      </w:rPr>
    </w:lvl>
    <w:lvl w:ilvl="7">
      <w:start w:val="1"/>
      <w:numFmt w:val="bullet"/>
      <w:lvlText w:val="o"/>
      <w:lvlJc w:val="left"/>
      <w:pPr>
        <w:ind w:left="5062" w:hanging="360"/>
      </w:pPr>
      <w:rPr>
        <w:rFonts w:ascii="Courier New" w:hAnsi="Courier New" w:cs="Courier New" w:hint="default"/>
      </w:rPr>
    </w:lvl>
    <w:lvl w:ilvl="8">
      <w:start w:val="1"/>
      <w:numFmt w:val="bullet"/>
      <w:lvlText w:val=""/>
      <w:lvlJc w:val="left"/>
      <w:pPr>
        <w:ind w:left="5782" w:hanging="360"/>
      </w:pPr>
      <w:rPr>
        <w:rFonts w:ascii="Wingdings" w:hAnsi="Wingdings" w:hint="default"/>
      </w:rPr>
    </w:lvl>
  </w:abstractNum>
  <w:abstractNum w:abstractNumId="8">
    <w:nsid w:val="628142A8"/>
    <w:multiLevelType w:val="multilevel"/>
    <w:tmpl w:val="A844E9BC"/>
    <w:lvl w:ilvl="0">
      <w:start w:val="1"/>
      <w:numFmt w:val="decimal"/>
      <w:lvlText w:val="%1.0"/>
      <w:lvlJc w:val="left"/>
      <w:pPr>
        <w:tabs>
          <w:tab w:val="num" w:pos="680"/>
        </w:tabs>
        <w:ind w:left="680" w:hanging="680"/>
      </w:pPr>
      <w:rPr>
        <w:rFonts w:ascii="Lucida Sans" w:hAnsi="Lucida Sans" w:hint="default"/>
        <w:b/>
        <w:i w:val="0"/>
        <w:sz w:val="24"/>
      </w:rPr>
    </w:lvl>
    <w:lvl w:ilvl="1">
      <w:start w:val="1"/>
      <w:numFmt w:val="decimal"/>
      <w:pStyle w:val="ListParagraph1"/>
      <w:lvlText w:val="%1.%2."/>
      <w:lvlJc w:val="left"/>
      <w:pPr>
        <w:tabs>
          <w:tab w:val="num" w:pos="680"/>
        </w:tabs>
        <w:ind w:left="680" w:hanging="680"/>
      </w:pPr>
      <w:rPr>
        <w:rFonts w:ascii="Lucida Sans" w:hAnsi="Lucida Sans" w:hint="default"/>
        <w:b w:val="0"/>
        <w:i w:val="0"/>
        <w:sz w:val="24"/>
      </w:rPr>
    </w:lvl>
    <w:lvl w:ilvl="2">
      <w:start w:val="1"/>
      <w:numFmt w:val="decimal"/>
      <w:lvlText w:val="%1.%2.%3."/>
      <w:lvlJc w:val="left"/>
      <w:pPr>
        <w:tabs>
          <w:tab w:val="num" w:pos="680"/>
        </w:tabs>
        <w:ind w:left="680" w:hanging="680"/>
      </w:pPr>
      <w:rPr>
        <w:rFonts w:ascii="Lucida Sans" w:hAnsi="Lucida San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2213C3A"/>
    <w:multiLevelType w:val="multilevel"/>
    <w:tmpl w:val="7004A20C"/>
    <w:lvl w:ilvl="0">
      <w:start w:val="1"/>
      <w:numFmt w:val="decimal"/>
      <w:lvlText w:val="%1.0"/>
      <w:lvlJc w:val="left"/>
      <w:pPr>
        <w:ind w:left="567" w:hanging="567"/>
      </w:pPr>
      <w:rPr>
        <w:rFonts w:ascii="Lucida Sans" w:hAnsi="Lucida Sans" w:hint="default"/>
        <w:b/>
        <w:i w:val="0"/>
        <w:sz w:val="24"/>
      </w:rPr>
    </w:lvl>
    <w:lvl w:ilvl="1">
      <w:start w:val="1"/>
      <w:numFmt w:val="decimal"/>
      <w:lvlText w:val="%1.%2"/>
      <w:lvlJc w:val="left"/>
      <w:pPr>
        <w:ind w:left="567" w:hanging="567"/>
      </w:pPr>
      <w:rPr>
        <w:rFonts w:ascii="Lucida Sans" w:hAnsi="Lucida Sans" w:hint="default"/>
        <w:b w:val="0"/>
        <w:i w:val="0"/>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6"/>
  </w:num>
  <w:num w:numId="2">
    <w:abstractNumId w:val="2"/>
  </w:num>
  <w:num w:numId="3">
    <w:abstractNumId w:val="7"/>
  </w:num>
  <w:num w:numId="4">
    <w:abstractNumId w:val="8"/>
  </w:num>
  <w:num w:numId="5">
    <w:abstractNumId w:val="6"/>
    <w:lvlOverride w:ilvl="0">
      <w:lvl w:ilvl="0">
        <w:start w:val="1"/>
        <w:numFmt w:val="decimal"/>
        <w:pStyle w:val="ACsubheading"/>
        <w:lvlText w:val="%1.0"/>
        <w:lvlJc w:val="left"/>
        <w:pPr>
          <w:ind w:left="567" w:hanging="567"/>
        </w:pPr>
        <w:rPr>
          <w:rFonts w:ascii="Lucida Sans" w:hAnsi="Lucida Sans" w:hint="default"/>
          <w:b/>
          <w:i w:val="0"/>
          <w:sz w:val="24"/>
        </w:rPr>
      </w:lvl>
    </w:lvlOverride>
    <w:lvlOverride w:ilvl="1">
      <w:lvl w:ilvl="1">
        <w:start w:val="1"/>
        <w:numFmt w:val="decimal"/>
        <w:lvlText w:val="%1.%2"/>
        <w:lvlJc w:val="left"/>
        <w:pPr>
          <w:ind w:left="567" w:hanging="567"/>
        </w:pPr>
        <w:rPr>
          <w:rFonts w:ascii="Lucida Sans" w:hAnsi="Lucida Sans" w:hint="default"/>
          <w:b w:val="0"/>
          <w:i w:val="0"/>
          <w:sz w:val="24"/>
        </w:rPr>
      </w:lvl>
    </w:lvlOverride>
    <w:lvlOverride w:ilvl="2">
      <w:lvl w:ilvl="2">
        <w:start w:val="1"/>
        <w:numFmt w:val="lowerLetter"/>
        <w:lvlText w:val="%3."/>
        <w:lvlJc w:val="left"/>
        <w:pPr>
          <w:tabs>
            <w:tab w:val="num" w:pos="1474"/>
          </w:tabs>
          <w:ind w:left="1871" w:hanging="453"/>
        </w:pPr>
        <w:rPr>
          <w:rFonts w:hint="default"/>
          <w:b w:val="0"/>
          <w:i w:val="0"/>
        </w:rPr>
      </w:lvl>
    </w:lvlOverride>
    <w:lvlOverride w:ilvl="3">
      <w:lvl w:ilvl="3">
        <w:start w:val="1"/>
        <w:numFmt w:val="lowerRoman"/>
        <w:pStyle w:val="AClistparagraph"/>
        <w:lvlText w:val="%4."/>
        <w:lvlJc w:val="left"/>
        <w:pPr>
          <w:tabs>
            <w:tab w:val="num" w:pos="2268"/>
          </w:tabs>
          <w:ind w:left="2552" w:hanging="284"/>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righ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right"/>
        <w:pPr>
          <w:ind w:left="567" w:hanging="567"/>
        </w:pPr>
        <w:rPr>
          <w:rFonts w:hint="default"/>
        </w:rPr>
      </w:lvl>
    </w:lvlOverride>
  </w:num>
  <w:num w:numId="6">
    <w:abstractNumId w:val="5"/>
  </w:num>
  <w:num w:numId="7">
    <w:abstractNumId w:val="0"/>
  </w:num>
  <w:num w:numId="8">
    <w:abstractNumId w:val="9"/>
  </w:num>
  <w:num w:numId="9">
    <w:abstractNumId w:val="4"/>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AD"/>
    <w:rsid w:val="00000334"/>
    <w:rsid w:val="00000FAF"/>
    <w:rsid w:val="00001116"/>
    <w:rsid w:val="0000182C"/>
    <w:rsid w:val="000038E2"/>
    <w:rsid w:val="00003976"/>
    <w:rsid w:val="00011A37"/>
    <w:rsid w:val="00013AAB"/>
    <w:rsid w:val="00015838"/>
    <w:rsid w:val="00020660"/>
    <w:rsid w:val="00020734"/>
    <w:rsid w:val="00024D1B"/>
    <w:rsid w:val="00025163"/>
    <w:rsid w:val="00026115"/>
    <w:rsid w:val="00027151"/>
    <w:rsid w:val="0003016B"/>
    <w:rsid w:val="000306B2"/>
    <w:rsid w:val="00033449"/>
    <w:rsid w:val="00035E6D"/>
    <w:rsid w:val="00036AF1"/>
    <w:rsid w:val="0004160F"/>
    <w:rsid w:val="000465F4"/>
    <w:rsid w:val="00046884"/>
    <w:rsid w:val="0005611F"/>
    <w:rsid w:val="00060CA1"/>
    <w:rsid w:val="000611CB"/>
    <w:rsid w:val="00062776"/>
    <w:rsid w:val="00062AFF"/>
    <w:rsid w:val="000634F5"/>
    <w:rsid w:val="000646D4"/>
    <w:rsid w:val="000660BF"/>
    <w:rsid w:val="00066C3B"/>
    <w:rsid w:val="00074CAD"/>
    <w:rsid w:val="00075936"/>
    <w:rsid w:val="000759C2"/>
    <w:rsid w:val="000779DE"/>
    <w:rsid w:val="000802DF"/>
    <w:rsid w:val="00081F12"/>
    <w:rsid w:val="000832C8"/>
    <w:rsid w:val="000843BB"/>
    <w:rsid w:val="000868DC"/>
    <w:rsid w:val="00086B9D"/>
    <w:rsid w:val="00093D63"/>
    <w:rsid w:val="00095D41"/>
    <w:rsid w:val="000976AF"/>
    <w:rsid w:val="000A114F"/>
    <w:rsid w:val="000A1B3D"/>
    <w:rsid w:val="000A1C8B"/>
    <w:rsid w:val="000A67D1"/>
    <w:rsid w:val="000B04A0"/>
    <w:rsid w:val="000B4601"/>
    <w:rsid w:val="000B47EF"/>
    <w:rsid w:val="000B5B81"/>
    <w:rsid w:val="000B6A97"/>
    <w:rsid w:val="000C05E4"/>
    <w:rsid w:val="000C12BF"/>
    <w:rsid w:val="000C3F80"/>
    <w:rsid w:val="000C455B"/>
    <w:rsid w:val="000C6AEA"/>
    <w:rsid w:val="000D012E"/>
    <w:rsid w:val="000D0F26"/>
    <w:rsid w:val="000D2D37"/>
    <w:rsid w:val="000D30CF"/>
    <w:rsid w:val="000D500C"/>
    <w:rsid w:val="000D761F"/>
    <w:rsid w:val="000E2720"/>
    <w:rsid w:val="000E2C8D"/>
    <w:rsid w:val="000E6652"/>
    <w:rsid w:val="000F00E6"/>
    <w:rsid w:val="000F1B62"/>
    <w:rsid w:val="000F4F41"/>
    <w:rsid w:val="000F5F37"/>
    <w:rsid w:val="000F7E9C"/>
    <w:rsid w:val="00100127"/>
    <w:rsid w:val="00100438"/>
    <w:rsid w:val="001014FC"/>
    <w:rsid w:val="001031E5"/>
    <w:rsid w:val="00111B93"/>
    <w:rsid w:val="00112554"/>
    <w:rsid w:val="001159EE"/>
    <w:rsid w:val="00122904"/>
    <w:rsid w:val="00123AA7"/>
    <w:rsid w:val="0012634B"/>
    <w:rsid w:val="00130DE0"/>
    <w:rsid w:val="0013282A"/>
    <w:rsid w:val="00132E5A"/>
    <w:rsid w:val="00140DFE"/>
    <w:rsid w:val="0014286A"/>
    <w:rsid w:val="00143085"/>
    <w:rsid w:val="00143363"/>
    <w:rsid w:val="00144D6E"/>
    <w:rsid w:val="00145AE0"/>
    <w:rsid w:val="00147CCB"/>
    <w:rsid w:val="00147ED9"/>
    <w:rsid w:val="0015215F"/>
    <w:rsid w:val="001533B7"/>
    <w:rsid w:val="00153923"/>
    <w:rsid w:val="00156EB4"/>
    <w:rsid w:val="001612B6"/>
    <w:rsid w:val="00162762"/>
    <w:rsid w:val="00163B5F"/>
    <w:rsid w:val="00165D88"/>
    <w:rsid w:val="001661D1"/>
    <w:rsid w:val="001667F1"/>
    <w:rsid w:val="00166E3C"/>
    <w:rsid w:val="001718D8"/>
    <w:rsid w:val="00174A06"/>
    <w:rsid w:val="0017688F"/>
    <w:rsid w:val="00181407"/>
    <w:rsid w:val="001856AA"/>
    <w:rsid w:val="00185A35"/>
    <w:rsid w:val="001861AE"/>
    <w:rsid w:val="00186EB8"/>
    <w:rsid w:val="001915A6"/>
    <w:rsid w:val="001946A2"/>
    <w:rsid w:val="0019667C"/>
    <w:rsid w:val="001A0ADA"/>
    <w:rsid w:val="001A3454"/>
    <w:rsid w:val="001A5B55"/>
    <w:rsid w:val="001A5E06"/>
    <w:rsid w:val="001B1AB5"/>
    <w:rsid w:val="001B3E61"/>
    <w:rsid w:val="001B5994"/>
    <w:rsid w:val="001B620F"/>
    <w:rsid w:val="001C05F5"/>
    <w:rsid w:val="001C1A77"/>
    <w:rsid w:val="001C1CA0"/>
    <w:rsid w:val="001C5402"/>
    <w:rsid w:val="001C62DE"/>
    <w:rsid w:val="001D0409"/>
    <w:rsid w:val="001D41D4"/>
    <w:rsid w:val="001D4A79"/>
    <w:rsid w:val="001E0476"/>
    <w:rsid w:val="001E4974"/>
    <w:rsid w:val="001E4C88"/>
    <w:rsid w:val="001E4C91"/>
    <w:rsid w:val="001E5304"/>
    <w:rsid w:val="001F0EA6"/>
    <w:rsid w:val="001F2008"/>
    <w:rsid w:val="001F25C6"/>
    <w:rsid w:val="001F2868"/>
    <w:rsid w:val="001F2D55"/>
    <w:rsid w:val="001F5E16"/>
    <w:rsid w:val="001F6C6F"/>
    <w:rsid w:val="00200A3A"/>
    <w:rsid w:val="00201D44"/>
    <w:rsid w:val="00202385"/>
    <w:rsid w:val="00203FCE"/>
    <w:rsid w:val="002065FB"/>
    <w:rsid w:val="00206D8F"/>
    <w:rsid w:val="00207A12"/>
    <w:rsid w:val="00207B25"/>
    <w:rsid w:val="00223A5A"/>
    <w:rsid w:val="00226142"/>
    <w:rsid w:val="00231E91"/>
    <w:rsid w:val="00231ECC"/>
    <w:rsid w:val="0023656A"/>
    <w:rsid w:val="00240370"/>
    <w:rsid w:val="00241A81"/>
    <w:rsid w:val="002431E8"/>
    <w:rsid w:val="002444F1"/>
    <w:rsid w:val="00244674"/>
    <w:rsid w:val="00247759"/>
    <w:rsid w:val="00252F26"/>
    <w:rsid w:val="00253704"/>
    <w:rsid w:val="00263335"/>
    <w:rsid w:val="002654C7"/>
    <w:rsid w:val="002750AB"/>
    <w:rsid w:val="00277A6D"/>
    <w:rsid w:val="00280CF5"/>
    <w:rsid w:val="0028211C"/>
    <w:rsid w:val="00283BB2"/>
    <w:rsid w:val="002856FF"/>
    <w:rsid w:val="00286029"/>
    <w:rsid w:val="0029173D"/>
    <w:rsid w:val="00291EED"/>
    <w:rsid w:val="002A118B"/>
    <w:rsid w:val="002B02C5"/>
    <w:rsid w:val="002B05D4"/>
    <w:rsid w:val="002B342E"/>
    <w:rsid w:val="002C04B8"/>
    <w:rsid w:val="002C12C1"/>
    <w:rsid w:val="002D1ED9"/>
    <w:rsid w:val="002D2134"/>
    <w:rsid w:val="002D3299"/>
    <w:rsid w:val="002D470A"/>
    <w:rsid w:val="002D756D"/>
    <w:rsid w:val="002E1124"/>
    <w:rsid w:val="002E35B3"/>
    <w:rsid w:val="002E4655"/>
    <w:rsid w:val="002F1D58"/>
    <w:rsid w:val="002F1D81"/>
    <w:rsid w:val="002F780E"/>
    <w:rsid w:val="00300AE0"/>
    <w:rsid w:val="00301132"/>
    <w:rsid w:val="003054D0"/>
    <w:rsid w:val="00311FBC"/>
    <w:rsid w:val="003124A5"/>
    <w:rsid w:val="003149E7"/>
    <w:rsid w:val="00314E5C"/>
    <w:rsid w:val="003169A1"/>
    <w:rsid w:val="00316EF6"/>
    <w:rsid w:val="0032220C"/>
    <w:rsid w:val="0032329F"/>
    <w:rsid w:val="00323EEB"/>
    <w:rsid w:val="00324461"/>
    <w:rsid w:val="00324F51"/>
    <w:rsid w:val="003267F9"/>
    <w:rsid w:val="0033069F"/>
    <w:rsid w:val="00337289"/>
    <w:rsid w:val="0034063A"/>
    <w:rsid w:val="0034366F"/>
    <w:rsid w:val="003442FC"/>
    <w:rsid w:val="003463A3"/>
    <w:rsid w:val="0035025D"/>
    <w:rsid w:val="00352754"/>
    <w:rsid w:val="003555C5"/>
    <w:rsid w:val="00357441"/>
    <w:rsid w:val="00367C58"/>
    <w:rsid w:val="003703A5"/>
    <w:rsid w:val="00370FE8"/>
    <w:rsid w:val="00371FFC"/>
    <w:rsid w:val="0037257E"/>
    <w:rsid w:val="003754F5"/>
    <w:rsid w:val="003765D7"/>
    <w:rsid w:val="00383227"/>
    <w:rsid w:val="003832BC"/>
    <w:rsid w:val="00386C2D"/>
    <w:rsid w:val="00390D9B"/>
    <w:rsid w:val="00391862"/>
    <w:rsid w:val="00391BD8"/>
    <w:rsid w:val="00392221"/>
    <w:rsid w:val="003924DD"/>
    <w:rsid w:val="00393881"/>
    <w:rsid w:val="003A0799"/>
    <w:rsid w:val="003A0DCB"/>
    <w:rsid w:val="003A2E7D"/>
    <w:rsid w:val="003A3216"/>
    <w:rsid w:val="003A5330"/>
    <w:rsid w:val="003A5AB7"/>
    <w:rsid w:val="003B0467"/>
    <w:rsid w:val="003B6CED"/>
    <w:rsid w:val="003B6E1E"/>
    <w:rsid w:val="003B77E2"/>
    <w:rsid w:val="003D01B3"/>
    <w:rsid w:val="003D09A6"/>
    <w:rsid w:val="003D1349"/>
    <w:rsid w:val="003D2D54"/>
    <w:rsid w:val="003D2FEF"/>
    <w:rsid w:val="003D63FE"/>
    <w:rsid w:val="003E0BD2"/>
    <w:rsid w:val="003E0F9C"/>
    <w:rsid w:val="003E1EFC"/>
    <w:rsid w:val="003E53CE"/>
    <w:rsid w:val="003E5833"/>
    <w:rsid w:val="003F0CB3"/>
    <w:rsid w:val="003F0F57"/>
    <w:rsid w:val="003F75F8"/>
    <w:rsid w:val="00401577"/>
    <w:rsid w:val="00404B38"/>
    <w:rsid w:val="00411EFF"/>
    <w:rsid w:val="00413B53"/>
    <w:rsid w:val="00421F22"/>
    <w:rsid w:val="00422E28"/>
    <w:rsid w:val="0042615B"/>
    <w:rsid w:val="004268E9"/>
    <w:rsid w:val="004317D0"/>
    <w:rsid w:val="00432EF7"/>
    <w:rsid w:val="00433214"/>
    <w:rsid w:val="00435834"/>
    <w:rsid w:val="00435B74"/>
    <w:rsid w:val="00441C2A"/>
    <w:rsid w:val="00442F39"/>
    <w:rsid w:val="00443295"/>
    <w:rsid w:val="00443C14"/>
    <w:rsid w:val="00445E52"/>
    <w:rsid w:val="0044668F"/>
    <w:rsid w:val="00446AD0"/>
    <w:rsid w:val="004538A1"/>
    <w:rsid w:val="00453E12"/>
    <w:rsid w:val="00453EBE"/>
    <w:rsid w:val="00460741"/>
    <w:rsid w:val="004623BE"/>
    <w:rsid w:val="00462443"/>
    <w:rsid w:val="004712E8"/>
    <w:rsid w:val="004720EC"/>
    <w:rsid w:val="00473078"/>
    <w:rsid w:val="00474326"/>
    <w:rsid w:val="0047600E"/>
    <w:rsid w:val="004775BC"/>
    <w:rsid w:val="004777F3"/>
    <w:rsid w:val="0048103E"/>
    <w:rsid w:val="00487DBA"/>
    <w:rsid w:val="0049000F"/>
    <w:rsid w:val="004930B8"/>
    <w:rsid w:val="00493A56"/>
    <w:rsid w:val="00494DC0"/>
    <w:rsid w:val="004A1B2A"/>
    <w:rsid w:val="004A425C"/>
    <w:rsid w:val="004A783C"/>
    <w:rsid w:val="004A7CCC"/>
    <w:rsid w:val="004B1FB5"/>
    <w:rsid w:val="004B3111"/>
    <w:rsid w:val="004C41DE"/>
    <w:rsid w:val="004D3B99"/>
    <w:rsid w:val="004D4EFD"/>
    <w:rsid w:val="004E1FF3"/>
    <w:rsid w:val="004E2DAF"/>
    <w:rsid w:val="004E61F6"/>
    <w:rsid w:val="004F0E11"/>
    <w:rsid w:val="004F3EFB"/>
    <w:rsid w:val="004F4B0A"/>
    <w:rsid w:val="0050024E"/>
    <w:rsid w:val="00500308"/>
    <w:rsid w:val="0050481F"/>
    <w:rsid w:val="005054C9"/>
    <w:rsid w:val="0050647A"/>
    <w:rsid w:val="00506873"/>
    <w:rsid w:val="00506EE4"/>
    <w:rsid w:val="00507F24"/>
    <w:rsid w:val="005137A2"/>
    <w:rsid w:val="0051381E"/>
    <w:rsid w:val="00514870"/>
    <w:rsid w:val="00516072"/>
    <w:rsid w:val="00520B83"/>
    <w:rsid w:val="00522CCA"/>
    <w:rsid w:val="0052470F"/>
    <w:rsid w:val="005249C4"/>
    <w:rsid w:val="00524A08"/>
    <w:rsid w:val="005276D6"/>
    <w:rsid w:val="00527ED2"/>
    <w:rsid w:val="00531809"/>
    <w:rsid w:val="00532302"/>
    <w:rsid w:val="005343FD"/>
    <w:rsid w:val="00535A43"/>
    <w:rsid w:val="00535D0A"/>
    <w:rsid w:val="005372E9"/>
    <w:rsid w:val="00540B30"/>
    <w:rsid w:val="00541096"/>
    <w:rsid w:val="005421F5"/>
    <w:rsid w:val="00544525"/>
    <w:rsid w:val="00547F3B"/>
    <w:rsid w:val="005525F2"/>
    <w:rsid w:val="005565A1"/>
    <w:rsid w:val="005612B7"/>
    <w:rsid w:val="00562869"/>
    <w:rsid w:val="00564F7F"/>
    <w:rsid w:val="00565E30"/>
    <w:rsid w:val="0056711C"/>
    <w:rsid w:val="00573C5F"/>
    <w:rsid w:val="00575437"/>
    <w:rsid w:val="00581917"/>
    <w:rsid w:val="00582DB4"/>
    <w:rsid w:val="00582E6D"/>
    <w:rsid w:val="00583333"/>
    <w:rsid w:val="005834B7"/>
    <w:rsid w:val="00583F19"/>
    <w:rsid w:val="00585CD4"/>
    <w:rsid w:val="005879C0"/>
    <w:rsid w:val="00591E52"/>
    <w:rsid w:val="00592D2A"/>
    <w:rsid w:val="00593530"/>
    <w:rsid w:val="00593C4B"/>
    <w:rsid w:val="00595237"/>
    <w:rsid w:val="005952DD"/>
    <w:rsid w:val="00595490"/>
    <w:rsid w:val="00595C00"/>
    <w:rsid w:val="005A0B73"/>
    <w:rsid w:val="005A408B"/>
    <w:rsid w:val="005A4932"/>
    <w:rsid w:val="005A5BBE"/>
    <w:rsid w:val="005B3744"/>
    <w:rsid w:val="005B6ED9"/>
    <w:rsid w:val="005B77B7"/>
    <w:rsid w:val="005C2206"/>
    <w:rsid w:val="005C396B"/>
    <w:rsid w:val="005C42F6"/>
    <w:rsid w:val="005C5746"/>
    <w:rsid w:val="005C7EFB"/>
    <w:rsid w:val="005D19B7"/>
    <w:rsid w:val="005D2FC5"/>
    <w:rsid w:val="005D3590"/>
    <w:rsid w:val="005D51A3"/>
    <w:rsid w:val="005D65E5"/>
    <w:rsid w:val="005F48E6"/>
    <w:rsid w:val="006007C4"/>
    <w:rsid w:val="00601620"/>
    <w:rsid w:val="00603ED6"/>
    <w:rsid w:val="0060722D"/>
    <w:rsid w:val="00610593"/>
    <w:rsid w:val="00613594"/>
    <w:rsid w:val="00613971"/>
    <w:rsid w:val="00616D12"/>
    <w:rsid w:val="0062282D"/>
    <w:rsid w:val="00622B62"/>
    <w:rsid w:val="006249DA"/>
    <w:rsid w:val="006255C7"/>
    <w:rsid w:val="00625613"/>
    <w:rsid w:val="00626034"/>
    <w:rsid w:val="00626B3F"/>
    <w:rsid w:val="00627A08"/>
    <w:rsid w:val="00632559"/>
    <w:rsid w:val="00633F6D"/>
    <w:rsid w:val="00645BC5"/>
    <w:rsid w:val="00645CAA"/>
    <w:rsid w:val="00647A7D"/>
    <w:rsid w:val="00650C93"/>
    <w:rsid w:val="006527B5"/>
    <w:rsid w:val="006538F8"/>
    <w:rsid w:val="00661495"/>
    <w:rsid w:val="0066521E"/>
    <w:rsid w:val="00665AFC"/>
    <w:rsid w:val="00670209"/>
    <w:rsid w:val="006723E2"/>
    <w:rsid w:val="0068296B"/>
    <w:rsid w:val="00683205"/>
    <w:rsid w:val="00684098"/>
    <w:rsid w:val="0068465E"/>
    <w:rsid w:val="00687648"/>
    <w:rsid w:val="00691358"/>
    <w:rsid w:val="006926FC"/>
    <w:rsid w:val="006963D9"/>
    <w:rsid w:val="00697EDB"/>
    <w:rsid w:val="006A3736"/>
    <w:rsid w:val="006A733C"/>
    <w:rsid w:val="006B1141"/>
    <w:rsid w:val="006B6800"/>
    <w:rsid w:val="006C08D4"/>
    <w:rsid w:val="006C0A40"/>
    <w:rsid w:val="006C0A4D"/>
    <w:rsid w:val="006C0D3A"/>
    <w:rsid w:val="006C0DFA"/>
    <w:rsid w:val="006C19EA"/>
    <w:rsid w:val="006C22F9"/>
    <w:rsid w:val="006C38F4"/>
    <w:rsid w:val="006C7A9B"/>
    <w:rsid w:val="006D33DB"/>
    <w:rsid w:val="006D6094"/>
    <w:rsid w:val="006E0F8C"/>
    <w:rsid w:val="006E1F38"/>
    <w:rsid w:val="006E3303"/>
    <w:rsid w:val="006E46C4"/>
    <w:rsid w:val="006E747C"/>
    <w:rsid w:val="006E7BA2"/>
    <w:rsid w:val="006F0F19"/>
    <w:rsid w:val="006F4759"/>
    <w:rsid w:val="006F48A6"/>
    <w:rsid w:val="006F60B1"/>
    <w:rsid w:val="006F6EEC"/>
    <w:rsid w:val="007010AF"/>
    <w:rsid w:val="00703FC5"/>
    <w:rsid w:val="00703FD5"/>
    <w:rsid w:val="0070487F"/>
    <w:rsid w:val="00706828"/>
    <w:rsid w:val="00707C56"/>
    <w:rsid w:val="00710C8E"/>
    <w:rsid w:val="007122BC"/>
    <w:rsid w:val="00722659"/>
    <w:rsid w:val="0072546E"/>
    <w:rsid w:val="00725A00"/>
    <w:rsid w:val="00730430"/>
    <w:rsid w:val="007319F7"/>
    <w:rsid w:val="00733BE4"/>
    <w:rsid w:val="00734DDF"/>
    <w:rsid w:val="00745407"/>
    <w:rsid w:val="00750392"/>
    <w:rsid w:val="00751C2F"/>
    <w:rsid w:val="007534A5"/>
    <w:rsid w:val="00756CEF"/>
    <w:rsid w:val="007571EC"/>
    <w:rsid w:val="00760549"/>
    <w:rsid w:val="00760FBE"/>
    <w:rsid w:val="00761E27"/>
    <w:rsid w:val="00762E87"/>
    <w:rsid w:val="007641B4"/>
    <w:rsid w:val="007654F4"/>
    <w:rsid w:val="00766046"/>
    <w:rsid w:val="00767FE1"/>
    <w:rsid w:val="00770210"/>
    <w:rsid w:val="00770A4F"/>
    <w:rsid w:val="007741F9"/>
    <w:rsid w:val="00775110"/>
    <w:rsid w:val="0077703B"/>
    <w:rsid w:val="0077739C"/>
    <w:rsid w:val="007812FC"/>
    <w:rsid w:val="00782F0E"/>
    <w:rsid w:val="00790610"/>
    <w:rsid w:val="0079375A"/>
    <w:rsid w:val="00796D1A"/>
    <w:rsid w:val="007A5A17"/>
    <w:rsid w:val="007A7725"/>
    <w:rsid w:val="007B0B27"/>
    <w:rsid w:val="007B5152"/>
    <w:rsid w:val="007B5CC5"/>
    <w:rsid w:val="007C0F90"/>
    <w:rsid w:val="007C1968"/>
    <w:rsid w:val="007C2B55"/>
    <w:rsid w:val="007C2D14"/>
    <w:rsid w:val="007C5CDF"/>
    <w:rsid w:val="007D26A2"/>
    <w:rsid w:val="007D3DCE"/>
    <w:rsid w:val="007D62AA"/>
    <w:rsid w:val="007D62FC"/>
    <w:rsid w:val="007E1926"/>
    <w:rsid w:val="007E1F7A"/>
    <w:rsid w:val="007E3115"/>
    <w:rsid w:val="007E413F"/>
    <w:rsid w:val="007E63FA"/>
    <w:rsid w:val="007E6E35"/>
    <w:rsid w:val="007F0CFA"/>
    <w:rsid w:val="007F1517"/>
    <w:rsid w:val="007F5A23"/>
    <w:rsid w:val="00804ED0"/>
    <w:rsid w:val="008063A2"/>
    <w:rsid w:val="00807B5A"/>
    <w:rsid w:val="00807DA2"/>
    <w:rsid w:val="00810967"/>
    <w:rsid w:val="00814A84"/>
    <w:rsid w:val="0081507A"/>
    <w:rsid w:val="0081707C"/>
    <w:rsid w:val="00820920"/>
    <w:rsid w:val="00820A71"/>
    <w:rsid w:val="00822988"/>
    <w:rsid w:val="00823EA2"/>
    <w:rsid w:val="00824809"/>
    <w:rsid w:val="00824E4F"/>
    <w:rsid w:val="008252D5"/>
    <w:rsid w:val="00827C1A"/>
    <w:rsid w:val="0083451F"/>
    <w:rsid w:val="00836DED"/>
    <w:rsid w:val="00837D0C"/>
    <w:rsid w:val="00844C9D"/>
    <w:rsid w:val="00844CE0"/>
    <w:rsid w:val="00846007"/>
    <w:rsid w:val="0085134D"/>
    <w:rsid w:val="00851DAE"/>
    <w:rsid w:val="00853248"/>
    <w:rsid w:val="00853562"/>
    <w:rsid w:val="008536F1"/>
    <w:rsid w:val="00854326"/>
    <w:rsid w:val="00855E2B"/>
    <w:rsid w:val="00856F49"/>
    <w:rsid w:val="008644E7"/>
    <w:rsid w:val="0086672C"/>
    <w:rsid w:val="008712F4"/>
    <w:rsid w:val="00876574"/>
    <w:rsid w:val="00885449"/>
    <w:rsid w:val="0088643B"/>
    <w:rsid w:val="00890DA8"/>
    <w:rsid w:val="00890E4D"/>
    <w:rsid w:val="00890FD0"/>
    <w:rsid w:val="00894085"/>
    <w:rsid w:val="00894FF4"/>
    <w:rsid w:val="0089704A"/>
    <w:rsid w:val="008A2CEF"/>
    <w:rsid w:val="008A629A"/>
    <w:rsid w:val="008A6C26"/>
    <w:rsid w:val="008A7734"/>
    <w:rsid w:val="008B32F9"/>
    <w:rsid w:val="008B537C"/>
    <w:rsid w:val="008B5A0F"/>
    <w:rsid w:val="008C019C"/>
    <w:rsid w:val="008C164E"/>
    <w:rsid w:val="008C2B99"/>
    <w:rsid w:val="008C57F8"/>
    <w:rsid w:val="008C672A"/>
    <w:rsid w:val="008C68EF"/>
    <w:rsid w:val="008C6EDF"/>
    <w:rsid w:val="008D0151"/>
    <w:rsid w:val="008D35E9"/>
    <w:rsid w:val="008D5A11"/>
    <w:rsid w:val="008E1D7E"/>
    <w:rsid w:val="008E2485"/>
    <w:rsid w:val="008E469F"/>
    <w:rsid w:val="008E7ABE"/>
    <w:rsid w:val="008F2B7D"/>
    <w:rsid w:val="008F307D"/>
    <w:rsid w:val="008F6855"/>
    <w:rsid w:val="008F6E48"/>
    <w:rsid w:val="008F73FC"/>
    <w:rsid w:val="00902064"/>
    <w:rsid w:val="009123AB"/>
    <w:rsid w:val="009127F6"/>
    <w:rsid w:val="00915BC5"/>
    <w:rsid w:val="00916238"/>
    <w:rsid w:val="009231C3"/>
    <w:rsid w:val="009249F5"/>
    <w:rsid w:val="00926449"/>
    <w:rsid w:val="009267A2"/>
    <w:rsid w:val="00927116"/>
    <w:rsid w:val="009271E1"/>
    <w:rsid w:val="009309BC"/>
    <w:rsid w:val="00932AEE"/>
    <w:rsid w:val="009343E9"/>
    <w:rsid w:val="00945950"/>
    <w:rsid w:val="00946010"/>
    <w:rsid w:val="00951872"/>
    <w:rsid w:val="00951B0E"/>
    <w:rsid w:val="00967370"/>
    <w:rsid w:val="00967A0D"/>
    <w:rsid w:val="00970C6E"/>
    <w:rsid w:val="00977879"/>
    <w:rsid w:val="009807CA"/>
    <w:rsid w:val="00981727"/>
    <w:rsid w:val="0098189B"/>
    <w:rsid w:val="009825A3"/>
    <w:rsid w:val="00983C7B"/>
    <w:rsid w:val="0098587B"/>
    <w:rsid w:val="00991323"/>
    <w:rsid w:val="0099544E"/>
    <w:rsid w:val="00995CA4"/>
    <w:rsid w:val="009A1EEA"/>
    <w:rsid w:val="009A2171"/>
    <w:rsid w:val="009A2587"/>
    <w:rsid w:val="009A7E8D"/>
    <w:rsid w:val="009B4551"/>
    <w:rsid w:val="009B76E6"/>
    <w:rsid w:val="009C0286"/>
    <w:rsid w:val="009C127E"/>
    <w:rsid w:val="009C6E14"/>
    <w:rsid w:val="009D0C1F"/>
    <w:rsid w:val="009D3F40"/>
    <w:rsid w:val="009E5B31"/>
    <w:rsid w:val="009F264D"/>
    <w:rsid w:val="009F2B3A"/>
    <w:rsid w:val="00A0043B"/>
    <w:rsid w:val="00A01183"/>
    <w:rsid w:val="00A0120B"/>
    <w:rsid w:val="00A01A0A"/>
    <w:rsid w:val="00A03C78"/>
    <w:rsid w:val="00A0497F"/>
    <w:rsid w:val="00A06DB7"/>
    <w:rsid w:val="00A12042"/>
    <w:rsid w:val="00A1263B"/>
    <w:rsid w:val="00A13B0C"/>
    <w:rsid w:val="00A152D8"/>
    <w:rsid w:val="00A21372"/>
    <w:rsid w:val="00A215FC"/>
    <w:rsid w:val="00A21730"/>
    <w:rsid w:val="00A22814"/>
    <w:rsid w:val="00A22CC3"/>
    <w:rsid w:val="00A22E1B"/>
    <w:rsid w:val="00A244B8"/>
    <w:rsid w:val="00A252B2"/>
    <w:rsid w:val="00A26BBE"/>
    <w:rsid w:val="00A26E6A"/>
    <w:rsid w:val="00A3035C"/>
    <w:rsid w:val="00A31ED5"/>
    <w:rsid w:val="00A401D6"/>
    <w:rsid w:val="00A4028E"/>
    <w:rsid w:val="00A4227C"/>
    <w:rsid w:val="00A423C7"/>
    <w:rsid w:val="00A5098B"/>
    <w:rsid w:val="00A51C56"/>
    <w:rsid w:val="00A528F6"/>
    <w:rsid w:val="00A52E47"/>
    <w:rsid w:val="00A53BB0"/>
    <w:rsid w:val="00A54795"/>
    <w:rsid w:val="00A577EB"/>
    <w:rsid w:val="00A63F01"/>
    <w:rsid w:val="00A70B4B"/>
    <w:rsid w:val="00A712E1"/>
    <w:rsid w:val="00A71B74"/>
    <w:rsid w:val="00A728C0"/>
    <w:rsid w:val="00A75B73"/>
    <w:rsid w:val="00A81915"/>
    <w:rsid w:val="00A84932"/>
    <w:rsid w:val="00A9038D"/>
    <w:rsid w:val="00A95CF4"/>
    <w:rsid w:val="00A964E2"/>
    <w:rsid w:val="00AA18D3"/>
    <w:rsid w:val="00AA1D5E"/>
    <w:rsid w:val="00AA23A5"/>
    <w:rsid w:val="00AA5649"/>
    <w:rsid w:val="00AA5DA9"/>
    <w:rsid w:val="00AA645C"/>
    <w:rsid w:val="00AB118A"/>
    <w:rsid w:val="00AB12AD"/>
    <w:rsid w:val="00AB1AFB"/>
    <w:rsid w:val="00AB2C3B"/>
    <w:rsid w:val="00AB4EC2"/>
    <w:rsid w:val="00AB741B"/>
    <w:rsid w:val="00AC17BA"/>
    <w:rsid w:val="00AC686B"/>
    <w:rsid w:val="00AD0167"/>
    <w:rsid w:val="00AD6FA8"/>
    <w:rsid w:val="00AE0E38"/>
    <w:rsid w:val="00AE10B7"/>
    <w:rsid w:val="00AE165F"/>
    <w:rsid w:val="00AE187C"/>
    <w:rsid w:val="00AE4521"/>
    <w:rsid w:val="00AE698A"/>
    <w:rsid w:val="00AF0036"/>
    <w:rsid w:val="00B0268E"/>
    <w:rsid w:val="00B033F1"/>
    <w:rsid w:val="00B03811"/>
    <w:rsid w:val="00B04C6D"/>
    <w:rsid w:val="00B06557"/>
    <w:rsid w:val="00B100F2"/>
    <w:rsid w:val="00B10636"/>
    <w:rsid w:val="00B10928"/>
    <w:rsid w:val="00B11925"/>
    <w:rsid w:val="00B13495"/>
    <w:rsid w:val="00B1389F"/>
    <w:rsid w:val="00B15DC6"/>
    <w:rsid w:val="00B167F7"/>
    <w:rsid w:val="00B179C0"/>
    <w:rsid w:val="00B22432"/>
    <w:rsid w:val="00B24168"/>
    <w:rsid w:val="00B2551A"/>
    <w:rsid w:val="00B2673E"/>
    <w:rsid w:val="00B27395"/>
    <w:rsid w:val="00B274F9"/>
    <w:rsid w:val="00B27745"/>
    <w:rsid w:val="00B30C92"/>
    <w:rsid w:val="00B31A22"/>
    <w:rsid w:val="00B31F6C"/>
    <w:rsid w:val="00B32B85"/>
    <w:rsid w:val="00B33CA3"/>
    <w:rsid w:val="00B342EA"/>
    <w:rsid w:val="00B34A71"/>
    <w:rsid w:val="00B3648D"/>
    <w:rsid w:val="00B36962"/>
    <w:rsid w:val="00B37B67"/>
    <w:rsid w:val="00B40BF6"/>
    <w:rsid w:val="00B431FA"/>
    <w:rsid w:val="00B435D7"/>
    <w:rsid w:val="00B44190"/>
    <w:rsid w:val="00B4431B"/>
    <w:rsid w:val="00B44DE4"/>
    <w:rsid w:val="00B5090C"/>
    <w:rsid w:val="00B50BD1"/>
    <w:rsid w:val="00B52907"/>
    <w:rsid w:val="00B52B13"/>
    <w:rsid w:val="00B5688B"/>
    <w:rsid w:val="00B56A33"/>
    <w:rsid w:val="00B60269"/>
    <w:rsid w:val="00B63FF1"/>
    <w:rsid w:val="00B75A52"/>
    <w:rsid w:val="00B75B77"/>
    <w:rsid w:val="00B75D5B"/>
    <w:rsid w:val="00B76023"/>
    <w:rsid w:val="00B820BE"/>
    <w:rsid w:val="00B856CB"/>
    <w:rsid w:val="00B86F7E"/>
    <w:rsid w:val="00B9018D"/>
    <w:rsid w:val="00B901F8"/>
    <w:rsid w:val="00B90F7A"/>
    <w:rsid w:val="00B93587"/>
    <w:rsid w:val="00BA102A"/>
    <w:rsid w:val="00BA2461"/>
    <w:rsid w:val="00BA5AD2"/>
    <w:rsid w:val="00BB27FD"/>
    <w:rsid w:val="00BB4B7E"/>
    <w:rsid w:val="00BB5001"/>
    <w:rsid w:val="00BB5D08"/>
    <w:rsid w:val="00BB6C6E"/>
    <w:rsid w:val="00BC1FD7"/>
    <w:rsid w:val="00BC4637"/>
    <w:rsid w:val="00BC5284"/>
    <w:rsid w:val="00BD0033"/>
    <w:rsid w:val="00BD5063"/>
    <w:rsid w:val="00BD5D1B"/>
    <w:rsid w:val="00BD7F1B"/>
    <w:rsid w:val="00BE164B"/>
    <w:rsid w:val="00BE669A"/>
    <w:rsid w:val="00BF1424"/>
    <w:rsid w:val="00BF1D75"/>
    <w:rsid w:val="00BF40D3"/>
    <w:rsid w:val="00BF5CBF"/>
    <w:rsid w:val="00BF693A"/>
    <w:rsid w:val="00C02279"/>
    <w:rsid w:val="00C0563E"/>
    <w:rsid w:val="00C05BFA"/>
    <w:rsid w:val="00C14A6E"/>
    <w:rsid w:val="00C15863"/>
    <w:rsid w:val="00C17B38"/>
    <w:rsid w:val="00C24FA4"/>
    <w:rsid w:val="00C33B5E"/>
    <w:rsid w:val="00C34560"/>
    <w:rsid w:val="00C34BB3"/>
    <w:rsid w:val="00C3565E"/>
    <w:rsid w:val="00C3711C"/>
    <w:rsid w:val="00C412BA"/>
    <w:rsid w:val="00C437DF"/>
    <w:rsid w:val="00C478ED"/>
    <w:rsid w:val="00C514C1"/>
    <w:rsid w:val="00C52759"/>
    <w:rsid w:val="00C53127"/>
    <w:rsid w:val="00C53E85"/>
    <w:rsid w:val="00C54C58"/>
    <w:rsid w:val="00C55F45"/>
    <w:rsid w:val="00C571F8"/>
    <w:rsid w:val="00C62156"/>
    <w:rsid w:val="00C62990"/>
    <w:rsid w:val="00C6394A"/>
    <w:rsid w:val="00C64793"/>
    <w:rsid w:val="00C64A13"/>
    <w:rsid w:val="00C67639"/>
    <w:rsid w:val="00C7795A"/>
    <w:rsid w:val="00C81D90"/>
    <w:rsid w:val="00C8219D"/>
    <w:rsid w:val="00C82D32"/>
    <w:rsid w:val="00C839F6"/>
    <w:rsid w:val="00C83F30"/>
    <w:rsid w:val="00C851F8"/>
    <w:rsid w:val="00C9034D"/>
    <w:rsid w:val="00C9221C"/>
    <w:rsid w:val="00C92804"/>
    <w:rsid w:val="00C955B9"/>
    <w:rsid w:val="00C966E3"/>
    <w:rsid w:val="00CA4B48"/>
    <w:rsid w:val="00CA6BEB"/>
    <w:rsid w:val="00CA78B8"/>
    <w:rsid w:val="00CB0C2C"/>
    <w:rsid w:val="00CB3600"/>
    <w:rsid w:val="00CB7FE1"/>
    <w:rsid w:val="00CC1EC9"/>
    <w:rsid w:val="00CC2E73"/>
    <w:rsid w:val="00CC306D"/>
    <w:rsid w:val="00CC34D2"/>
    <w:rsid w:val="00CD0254"/>
    <w:rsid w:val="00CD3E55"/>
    <w:rsid w:val="00CD6316"/>
    <w:rsid w:val="00CD6C81"/>
    <w:rsid w:val="00CD7697"/>
    <w:rsid w:val="00CE14DE"/>
    <w:rsid w:val="00CE2DFF"/>
    <w:rsid w:val="00CE5F84"/>
    <w:rsid w:val="00CF0C72"/>
    <w:rsid w:val="00CF145F"/>
    <w:rsid w:val="00CF1CA1"/>
    <w:rsid w:val="00D01F28"/>
    <w:rsid w:val="00D045A2"/>
    <w:rsid w:val="00D0624B"/>
    <w:rsid w:val="00D07C71"/>
    <w:rsid w:val="00D102B1"/>
    <w:rsid w:val="00D12CB4"/>
    <w:rsid w:val="00D14676"/>
    <w:rsid w:val="00D1574D"/>
    <w:rsid w:val="00D1692D"/>
    <w:rsid w:val="00D1791E"/>
    <w:rsid w:val="00D22ADB"/>
    <w:rsid w:val="00D242BE"/>
    <w:rsid w:val="00D43593"/>
    <w:rsid w:val="00D474C5"/>
    <w:rsid w:val="00D50DB6"/>
    <w:rsid w:val="00D577EB"/>
    <w:rsid w:val="00D6214F"/>
    <w:rsid w:val="00D62835"/>
    <w:rsid w:val="00D65122"/>
    <w:rsid w:val="00D70ACD"/>
    <w:rsid w:val="00D71512"/>
    <w:rsid w:val="00D76440"/>
    <w:rsid w:val="00D773C4"/>
    <w:rsid w:val="00D837F5"/>
    <w:rsid w:val="00D8452F"/>
    <w:rsid w:val="00D846F8"/>
    <w:rsid w:val="00D857EA"/>
    <w:rsid w:val="00D939F5"/>
    <w:rsid w:val="00D94BFC"/>
    <w:rsid w:val="00DA252F"/>
    <w:rsid w:val="00DA3792"/>
    <w:rsid w:val="00DA38B6"/>
    <w:rsid w:val="00DA5406"/>
    <w:rsid w:val="00DB16C5"/>
    <w:rsid w:val="00DB5227"/>
    <w:rsid w:val="00DB5A88"/>
    <w:rsid w:val="00DB7C51"/>
    <w:rsid w:val="00DC243C"/>
    <w:rsid w:val="00DD08D6"/>
    <w:rsid w:val="00DD0A9C"/>
    <w:rsid w:val="00DD0FD1"/>
    <w:rsid w:val="00DD5D30"/>
    <w:rsid w:val="00DD7C8D"/>
    <w:rsid w:val="00DE2C43"/>
    <w:rsid w:val="00DE3D93"/>
    <w:rsid w:val="00DE418A"/>
    <w:rsid w:val="00DE4FB7"/>
    <w:rsid w:val="00DE525D"/>
    <w:rsid w:val="00DE629A"/>
    <w:rsid w:val="00DF04BA"/>
    <w:rsid w:val="00DF374D"/>
    <w:rsid w:val="00DF4B29"/>
    <w:rsid w:val="00DF68F4"/>
    <w:rsid w:val="00E02B85"/>
    <w:rsid w:val="00E058F2"/>
    <w:rsid w:val="00E13F10"/>
    <w:rsid w:val="00E27014"/>
    <w:rsid w:val="00E27515"/>
    <w:rsid w:val="00E31174"/>
    <w:rsid w:val="00E35BDF"/>
    <w:rsid w:val="00E35D32"/>
    <w:rsid w:val="00E36D5D"/>
    <w:rsid w:val="00E403B6"/>
    <w:rsid w:val="00E4211F"/>
    <w:rsid w:val="00E428F7"/>
    <w:rsid w:val="00E42E27"/>
    <w:rsid w:val="00E457D8"/>
    <w:rsid w:val="00E465B9"/>
    <w:rsid w:val="00E4774B"/>
    <w:rsid w:val="00E519DC"/>
    <w:rsid w:val="00E51CB3"/>
    <w:rsid w:val="00E6255B"/>
    <w:rsid w:val="00E626DB"/>
    <w:rsid w:val="00E631B8"/>
    <w:rsid w:val="00E63AB1"/>
    <w:rsid w:val="00E65452"/>
    <w:rsid w:val="00E70348"/>
    <w:rsid w:val="00E73551"/>
    <w:rsid w:val="00E7432B"/>
    <w:rsid w:val="00E74931"/>
    <w:rsid w:val="00E76171"/>
    <w:rsid w:val="00E764C8"/>
    <w:rsid w:val="00E816DF"/>
    <w:rsid w:val="00E8259C"/>
    <w:rsid w:val="00E8309B"/>
    <w:rsid w:val="00E842B4"/>
    <w:rsid w:val="00E844E5"/>
    <w:rsid w:val="00E8468F"/>
    <w:rsid w:val="00E85242"/>
    <w:rsid w:val="00E90AB4"/>
    <w:rsid w:val="00EA06F8"/>
    <w:rsid w:val="00EA3357"/>
    <w:rsid w:val="00EA7816"/>
    <w:rsid w:val="00EB1BE9"/>
    <w:rsid w:val="00EB5B15"/>
    <w:rsid w:val="00EB5ED2"/>
    <w:rsid w:val="00EB7ECE"/>
    <w:rsid w:val="00EC3DE5"/>
    <w:rsid w:val="00EC447A"/>
    <w:rsid w:val="00ED0C89"/>
    <w:rsid w:val="00ED10B7"/>
    <w:rsid w:val="00ED38DD"/>
    <w:rsid w:val="00ED5A00"/>
    <w:rsid w:val="00ED70E5"/>
    <w:rsid w:val="00EE41B4"/>
    <w:rsid w:val="00EE5F62"/>
    <w:rsid w:val="00EE72CC"/>
    <w:rsid w:val="00EF1D8A"/>
    <w:rsid w:val="00EF34A9"/>
    <w:rsid w:val="00EF6D85"/>
    <w:rsid w:val="00F002D0"/>
    <w:rsid w:val="00F01877"/>
    <w:rsid w:val="00F019DB"/>
    <w:rsid w:val="00F0461D"/>
    <w:rsid w:val="00F062AF"/>
    <w:rsid w:val="00F07B37"/>
    <w:rsid w:val="00F10234"/>
    <w:rsid w:val="00F12323"/>
    <w:rsid w:val="00F12E7E"/>
    <w:rsid w:val="00F1308B"/>
    <w:rsid w:val="00F20FFE"/>
    <w:rsid w:val="00F21531"/>
    <w:rsid w:val="00F21AD3"/>
    <w:rsid w:val="00F224F1"/>
    <w:rsid w:val="00F311E2"/>
    <w:rsid w:val="00F34374"/>
    <w:rsid w:val="00F35BED"/>
    <w:rsid w:val="00F42E1F"/>
    <w:rsid w:val="00F432FE"/>
    <w:rsid w:val="00F4368E"/>
    <w:rsid w:val="00F444FC"/>
    <w:rsid w:val="00F47095"/>
    <w:rsid w:val="00F515B5"/>
    <w:rsid w:val="00F53BBB"/>
    <w:rsid w:val="00F57113"/>
    <w:rsid w:val="00F57452"/>
    <w:rsid w:val="00F60408"/>
    <w:rsid w:val="00F610EA"/>
    <w:rsid w:val="00F63169"/>
    <w:rsid w:val="00F640E2"/>
    <w:rsid w:val="00F64C8A"/>
    <w:rsid w:val="00F65879"/>
    <w:rsid w:val="00F65CAF"/>
    <w:rsid w:val="00F72F95"/>
    <w:rsid w:val="00F73FD3"/>
    <w:rsid w:val="00F76748"/>
    <w:rsid w:val="00F80D73"/>
    <w:rsid w:val="00F833FD"/>
    <w:rsid w:val="00F841DA"/>
    <w:rsid w:val="00F87628"/>
    <w:rsid w:val="00F9022E"/>
    <w:rsid w:val="00F91561"/>
    <w:rsid w:val="00F93069"/>
    <w:rsid w:val="00F93304"/>
    <w:rsid w:val="00F9406A"/>
    <w:rsid w:val="00F959FC"/>
    <w:rsid w:val="00F97262"/>
    <w:rsid w:val="00FA25A4"/>
    <w:rsid w:val="00FA2DC5"/>
    <w:rsid w:val="00FA38CE"/>
    <w:rsid w:val="00FA3FD6"/>
    <w:rsid w:val="00FA5FD8"/>
    <w:rsid w:val="00FA6C75"/>
    <w:rsid w:val="00FB0A3E"/>
    <w:rsid w:val="00FB1CA8"/>
    <w:rsid w:val="00FB2E5F"/>
    <w:rsid w:val="00FB2E89"/>
    <w:rsid w:val="00FB3B29"/>
    <w:rsid w:val="00FB4339"/>
    <w:rsid w:val="00FB7A5A"/>
    <w:rsid w:val="00FC2C9E"/>
    <w:rsid w:val="00FC2D8C"/>
    <w:rsid w:val="00FC348C"/>
    <w:rsid w:val="00FC461D"/>
    <w:rsid w:val="00FC4DDA"/>
    <w:rsid w:val="00FC6DB7"/>
    <w:rsid w:val="00FD2793"/>
    <w:rsid w:val="00FD7D5A"/>
    <w:rsid w:val="00FD7DDF"/>
    <w:rsid w:val="00FE18C4"/>
    <w:rsid w:val="00FE1B67"/>
    <w:rsid w:val="00FE1E00"/>
    <w:rsid w:val="00FE2481"/>
    <w:rsid w:val="00FE6188"/>
    <w:rsid w:val="00FF1123"/>
    <w:rsid w:val="00FF1AEB"/>
    <w:rsid w:val="00FF7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514DD0"/>
  <w15:docId w15:val="{4B62A39E-B3BC-4625-B2D0-2A2EC30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4"/>
        <w:szCs w:val="22"/>
        <w:lang w:val="en-GB"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2AFF"/>
    <w:pPr>
      <w:outlineLvl w:val="0"/>
    </w:pPr>
    <w:rPr>
      <w:rFonts w:eastAsia="Times New Roman" w:cs="Times New Roman"/>
      <w:b/>
      <w:noProo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AFF"/>
  </w:style>
  <w:style w:type="paragraph" w:styleId="Footer">
    <w:name w:val="footer"/>
    <w:basedOn w:val="Normal"/>
    <w:link w:val="FooterChar"/>
    <w:uiPriority w:val="99"/>
    <w:unhideWhenUsed/>
    <w:rsid w:val="0006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AFF"/>
  </w:style>
  <w:style w:type="character" w:customStyle="1" w:styleId="Heading1Char">
    <w:name w:val="Heading 1 Char"/>
    <w:basedOn w:val="DefaultParagraphFont"/>
    <w:link w:val="Heading1"/>
    <w:rsid w:val="00062AFF"/>
    <w:rPr>
      <w:rFonts w:eastAsia="Times New Roman" w:cs="Times New Roman"/>
      <w:b/>
      <w:noProof/>
      <w:sz w:val="32"/>
      <w:szCs w:val="32"/>
      <w:lang w:eastAsia="en-GB"/>
    </w:rPr>
  </w:style>
  <w:style w:type="paragraph" w:customStyle="1" w:styleId="ACpaperheading">
    <w:name w:val="AC paper heading"/>
    <w:basedOn w:val="Heading1"/>
    <w:next w:val="Normal"/>
    <w:qFormat/>
    <w:rsid w:val="001C1A77"/>
    <w:pPr>
      <w:outlineLvl w:val="9"/>
    </w:pPr>
    <w:rPr>
      <w:szCs w:val="24"/>
    </w:rPr>
  </w:style>
  <w:style w:type="paragraph" w:styleId="ListParagraph">
    <w:name w:val="List Paragraph"/>
    <w:basedOn w:val="Normal"/>
    <w:uiPriority w:val="34"/>
    <w:qFormat/>
    <w:rsid w:val="00062AFF"/>
    <w:pPr>
      <w:ind w:left="720"/>
      <w:contextualSpacing/>
    </w:pPr>
  </w:style>
  <w:style w:type="paragraph" w:customStyle="1" w:styleId="AClistparagraph">
    <w:name w:val="AC list paragraph"/>
    <w:basedOn w:val="ListParagraph"/>
    <w:qFormat/>
    <w:rsid w:val="00E6255B"/>
    <w:pPr>
      <w:numPr>
        <w:ilvl w:val="3"/>
        <w:numId w:val="1"/>
      </w:numPr>
      <w:contextualSpacing w:val="0"/>
    </w:pPr>
    <w:rPr>
      <w:lang w:eastAsia="en-GB"/>
    </w:rPr>
  </w:style>
  <w:style w:type="paragraph" w:customStyle="1" w:styleId="ACbullets">
    <w:name w:val="AC bullets"/>
    <w:basedOn w:val="ListParagraph"/>
    <w:qFormat/>
    <w:rsid w:val="00E6255B"/>
    <w:pPr>
      <w:numPr>
        <w:numId w:val="3"/>
      </w:numPr>
      <w:contextualSpacing w:val="0"/>
    </w:pPr>
  </w:style>
  <w:style w:type="paragraph" w:customStyle="1" w:styleId="ListParagraph1">
    <w:name w:val="List Paragraph1"/>
    <w:basedOn w:val="Normal"/>
    <w:rsid w:val="00035E6D"/>
    <w:pPr>
      <w:numPr>
        <w:ilvl w:val="1"/>
        <w:numId w:val="4"/>
      </w:numPr>
    </w:pPr>
    <w:rPr>
      <w:rFonts w:eastAsia="Times New Roman" w:cs="Times New Roman"/>
      <w:szCs w:val="24"/>
      <w:lang w:eastAsia="en-GB"/>
    </w:rPr>
  </w:style>
  <w:style w:type="table" w:styleId="TableGrid">
    <w:name w:val="Table Grid"/>
    <w:aliases w:val="AC tables"/>
    <w:basedOn w:val="TableNormal"/>
    <w:uiPriority w:val="59"/>
    <w:rsid w:val="002C04B8"/>
    <w:pPr>
      <w:spacing w:after="12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Lucida Sans" w:hAnsi="Lucida Sans"/>
        <w:b/>
        <w:sz w:val="24"/>
      </w:rPr>
      <w:tblPr/>
      <w:trPr>
        <w:tblHeader/>
      </w:trPr>
    </w:tblStylePr>
  </w:style>
  <w:style w:type="paragraph" w:styleId="TOC1">
    <w:name w:val="toc 1"/>
    <w:basedOn w:val="Normal"/>
    <w:next w:val="Normal"/>
    <w:autoRedefine/>
    <w:uiPriority w:val="39"/>
    <w:unhideWhenUsed/>
    <w:rsid w:val="001C1A77"/>
    <w:pPr>
      <w:tabs>
        <w:tab w:val="left" w:pos="660"/>
        <w:tab w:val="right" w:leader="dot" w:pos="9016"/>
      </w:tabs>
      <w:spacing w:after="100"/>
    </w:pPr>
  </w:style>
  <w:style w:type="character" w:styleId="Hyperlink">
    <w:name w:val="Hyperlink"/>
    <w:basedOn w:val="DefaultParagraphFont"/>
    <w:uiPriority w:val="99"/>
    <w:unhideWhenUsed/>
    <w:rsid w:val="001C1A77"/>
    <w:rPr>
      <w:color w:val="0000FF" w:themeColor="hyperlink"/>
      <w:u w:val="single"/>
    </w:rPr>
  </w:style>
  <w:style w:type="paragraph" w:customStyle="1" w:styleId="ACsubheading">
    <w:name w:val="AC sub heading"/>
    <w:basedOn w:val="Normal"/>
    <w:qFormat/>
    <w:rsid w:val="001C1A77"/>
    <w:pPr>
      <w:numPr>
        <w:numId w:val="1"/>
      </w:numPr>
      <w:outlineLvl w:val="0"/>
    </w:pPr>
    <w:rPr>
      <w:b/>
    </w:rPr>
  </w:style>
  <w:style w:type="paragraph" w:customStyle="1" w:styleId="ACtitlepagesubheading">
    <w:name w:val="AC title page sub heading"/>
    <w:basedOn w:val="ACpaperheading"/>
    <w:qFormat/>
    <w:rsid w:val="000306B2"/>
    <w:rPr>
      <w:sz w:val="24"/>
    </w:rPr>
  </w:style>
  <w:style w:type="paragraph" w:styleId="FootnoteText">
    <w:name w:val="footnote text"/>
    <w:basedOn w:val="Normal"/>
    <w:link w:val="FootnoteTextChar"/>
    <w:uiPriority w:val="99"/>
    <w:unhideWhenUsed/>
    <w:rsid w:val="00A215FC"/>
    <w:pPr>
      <w:spacing w:after="0" w:line="240" w:lineRule="auto"/>
    </w:pPr>
    <w:rPr>
      <w:sz w:val="20"/>
      <w:szCs w:val="20"/>
    </w:rPr>
  </w:style>
  <w:style w:type="character" w:customStyle="1" w:styleId="FootnoteTextChar">
    <w:name w:val="Footnote Text Char"/>
    <w:basedOn w:val="DefaultParagraphFont"/>
    <w:link w:val="FootnoteText"/>
    <w:uiPriority w:val="99"/>
    <w:rsid w:val="00A215FC"/>
    <w:rPr>
      <w:sz w:val="20"/>
      <w:szCs w:val="20"/>
    </w:rPr>
  </w:style>
  <w:style w:type="character" w:styleId="FootnoteReference">
    <w:name w:val="footnote reference"/>
    <w:basedOn w:val="DefaultParagraphFont"/>
    <w:uiPriority w:val="99"/>
    <w:semiHidden/>
    <w:unhideWhenUsed/>
    <w:rsid w:val="00A215FC"/>
    <w:rPr>
      <w:vertAlign w:val="superscript"/>
    </w:rPr>
  </w:style>
  <w:style w:type="paragraph" w:styleId="EndnoteText">
    <w:name w:val="endnote text"/>
    <w:basedOn w:val="Normal"/>
    <w:link w:val="EndnoteTextChar"/>
    <w:uiPriority w:val="99"/>
    <w:semiHidden/>
    <w:unhideWhenUsed/>
    <w:rsid w:val="008F3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07D"/>
    <w:rPr>
      <w:sz w:val="20"/>
      <w:szCs w:val="20"/>
    </w:rPr>
  </w:style>
  <w:style w:type="character" w:styleId="EndnoteReference">
    <w:name w:val="endnote reference"/>
    <w:basedOn w:val="DefaultParagraphFont"/>
    <w:uiPriority w:val="99"/>
    <w:semiHidden/>
    <w:unhideWhenUsed/>
    <w:rsid w:val="008F307D"/>
    <w:rPr>
      <w:vertAlign w:val="superscript"/>
    </w:rPr>
  </w:style>
  <w:style w:type="paragraph" w:styleId="BalloonText">
    <w:name w:val="Balloon Text"/>
    <w:basedOn w:val="Normal"/>
    <w:link w:val="BalloonTextChar"/>
    <w:uiPriority w:val="99"/>
    <w:semiHidden/>
    <w:unhideWhenUsed/>
    <w:rsid w:val="008B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0F"/>
    <w:rPr>
      <w:rFonts w:ascii="Tahoma" w:hAnsi="Tahoma" w:cs="Tahoma"/>
      <w:sz w:val="16"/>
      <w:szCs w:val="16"/>
    </w:rPr>
  </w:style>
  <w:style w:type="character" w:styleId="CommentReference">
    <w:name w:val="annotation reference"/>
    <w:basedOn w:val="DefaultParagraphFont"/>
    <w:uiPriority w:val="99"/>
    <w:semiHidden/>
    <w:unhideWhenUsed/>
    <w:rsid w:val="00A06DB7"/>
    <w:rPr>
      <w:sz w:val="16"/>
      <w:szCs w:val="16"/>
    </w:rPr>
  </w:style>
  <w:style w:type="paragraph" w:styleId="CommentText">
    <w:name w:val="annotation text"/>
    <w:basedOn w:val="Normal"/>
    <w:link w:val="CommentTextChar"/>
    <w:uiPriority w:val="99"/>
    <w:semiHidden/>
    <w:unhideWhenUsed/>
    <w:rsid w:val="00A06DB7"/>
    <w:pPr>
      <w:spacing w:line="240" w:lineRule="auto"/>
    </w:pPr>
    <w:rPr>
      <w:sz w:val="20"/>
      <w:szCs w:val="20"/>
    </w:rPr>
  </w:style>
  <w:style w:type="character" w:customStyle="1" w:styleId="CommentTextChar">
    <w:name w:val="Comment Text Char"/>
    <w:basedOn w:val="DefaultParagraphFont"/>
    <w:link w:val="CommentText"/>
    <w:uiPriority w:val="99"/>
    <w:semiHidden/>
    <w:rsid w:val="00A06DB7"/>
    <w:rPr>
      <w:sz w:val="20"/>
      <w:szCs w:val="20"/>
    </w:rPr>
  </w:style>
  <w:style w:type="paragraph" w:styleId="CommentSubject">
    <w:name w:val="annotation subject"/>
    <w:basedOn w:val="CommentText"/>
    <w:next w:val="CommentText"/>
    <w:link w:val="CommentSubjectChar"/>
    <w:uiPriority w:val="99"/>
    <w:semiHidden/>
    <w:unhideWhenUsed/>
    <w:rsid w:val="00A06DB7"/>
    <w:rPr>
      <w:b/>
      <w:bCs/>
    </w:rPr>
  </w:style>
  <w:style w:type="character" w:customStyle="1" w:styleId="CommentSubjectChar">
    <w:name w:val="Comment Subject Char"/>
    <w:basedOn w:val="CommentTextChar"/>
    <w:link w:val="CommentSubject"/>
    <w:uiPriority w:val="99"/>
    <w:semiHidden/>
    <w:rsid w:val="00A0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B3CEB-CDD9-4224-AADF-21484F8278AE}"/>
</file>

<file path=customXml/itemProps2.xml><?xml version="1.0" encoding="utf-8"?>
<ds:datastoreItem xmlns:ds="http://schemas.openxmlformats.org/officeDocument/2006/customXml" ds:itemID="{1F91684A-034A-411F-BD01-EC154CEC8924}"/>
</file>

<file path=customXml/itemProps3.xml><?xml version="1.0" encoding="utf-8"?>
<ds:datastoreItem xmlns:ds="http://schemas.openxmlformats.org/officeDocument/2006/customXml" ds:itemID="{152AE1DD-FD7D-4673-A8A8-AEE75EECDADB}"/>
</file>

<file path=customXml/itemProps4.xml><?xml version="1.0" encoding="utf-8"?>
<ds:datastoreItem xmlns:ds="http://schemas.openxmlformats.org/officeDocument/2006/customXml" ds:itemID="{106D0D08-5FCA-474B-8361-025FB327C858}"/>
</file>

<file path=docProps/app.xml><?xml version="1.0" encoding="utf-8"?>
<Properties xmlns="http://schemas.openxmlformats.org/officeDocument/2006/extended-properties" xmlns:vt="http://schemas.openxmlformats.org/officeDocument/2006/docPropsVTypes">
  <Template>Normal.dotm</Template>
  <TotalTime>16</TotalTime>
  <Pages>10</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HFinlayson</dc:creator>
  <cp:lastModifiedBy>Bradley, Neil (Assembly - Facilities Management)</cp:lastModifiedBy>
  <cp:revision>4</cp:revision>
  <cp:lastPrinted>2015-01-07T15:03:00Z</cp:lastPrinted>
  <dcterms:created xsi:type="dcterms:W3CDTF">2015-01-22T14:15:00Z</dcterms:created>
  <dcterms:modified xsi:type="dcterms:W3CDTF">2015-02-12T16:27:00Z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